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221F25" w:rsidTr="00221F25">
        <w:trPr>
          <w:trHeight w:val="360"/>
          <w:jc w:val="center"/>
        </w:trPr>
        <w:tc>
          <w:tcPr>
            <w:tcW w:w="9365" w:type="dxa"/>
            <w:hideMark/>
          </w:tcPr>
          <w:p w:rsidR="00221F25" w:rsidRPr="00BA2A27" w:rsidRDefault="00BA2A27">
            <w:pPr>
              <w:suppressLineNumbers/>
              <w:spacing w:line="360" w:lineRule="auto"/>
              <w:ind w:left="319"/>
              <w:rPr>
                <w:sz w:val="26"/>
                <w:szCs w:val="26"/>
                <w:rtl/>
              </w:rPr>
            </w:pPr>
            <w:bookmarkStart w:id="0" w:name="_GoBack"/>
            <w:bookmarkEnd w:id="0"/>
            <w:r w:rsidRPr="00BA2A27">
              <w:rPr>
                <w:rFonts w:hint="cs"/>
                <w:b/>
                <w:bCs/>
                <w:sz w:val="26"/>
                <w:szCs w:val="26"/>
                <w:rtl/>
              </w:rPr>
              <w:t>ב</w:t>
            </w:r>
            <w:r w:rsidR="00221F25" w:rsidRPr="00BA2A27">
              <w:rPr>
                <w:b/>
                <w:bCs/>
                <w:sz w:val="26"/>
                <w:szCs w:val="26"/>
                <w:rtl/>
              </w:rPr>
              <w:t>פני</w:t>
            </w:r>
            <w:r>
              <w:rPr>
                <w:rFonts w:hint="cs"/>
                <w:b/>
                <w:bCs/>
                <w:sz w:val="26"/>
                <w:szCs w:val="26"/>
                <w:rtl/>
              </w:rPr>
              <w:t>י</w:t>
            </w:r>
            <w:r w:rsidRPr="00BA2A27">
              <w:rPr>
                <w:rFonts w:hint="cs"/>
                <w:b/>
                <w:bCs/>
                <w:sz w:val="26"/>
                <w:szCs w:val="26"/>
                <w:rtl/>
              </w:rPr>
              <w:t xml:space="preserve"> :            </w:t>
            </w:r>
            <w:r w:rsidR="00221F25" w:rsidRPr="00BA2A27">
              <w:rPr>
                <w:b/>
                <w:bCs/>
                <w:sz w:val="26"/>
                <w:szCs w:val="26"/>
                <w:rtl/>
              </w:rPr>
              <w:t>כבוד ה</w:t>
            </w:r>
            <w:sdt>
              <w:sdtPr>
                <w:rPr>
                  <w:sz w:val="26"/>
                  <w:szCs w:val="26"/>
                  <w:rtl/>
                </w:rPr>
                <w:alias w:val="165"/>
                <w:tag w:val="165"/>
                <w:id w:val="584732177"/>
                <w:text w:multiLine="1"/>
              </w:sdtPr>
              <w:sdtEndPr/>
              <w:sdtContent>
                <w:r w:rsidR="00221F25" w:rsidRPr="00BA2A27">
                  <w:rPr>
                    <w:b/>
                    <w:bCs/>
                    <w:sz w:val="26"/>
                    <w:szCs w:val="26"/>
                    <w:rtl/>
                  </w:rPr>
                  <w:t>שופטת לירון זרבל- קדשאי</w:t>
                </w:r>
              </w:sdtContent>
            </w:sdt>
          </w:p>
          <w:p w:rsidR="00221F25" w:rsidRDefault="00221F25">
            <w:pPr>
              <w:suppressLineNumbers/>
              <w:spacing w:line="360" w:lineRule="auto"/>
              <w:ind w:left="319"/>
              <w:rPr>
                <w:b/>
                <w:bCs/>
              </w:rPr>
            </w:pPr>
          </w:p>
        </w:tc>
      </w:tr>
    </w:tbl>
    <w:tbl>
      <w:tblPr>
        <w:tblStyle w:val="a9"/>
        <w:bidiVisual/>
        <w:tblW w:w="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221F25" w:rsidTr="00221F25">
        <w:tc>
          <w:tcPr>
            <w:tcW w:w="3246" w:type="dxa"/>
          </w:tcPr>
          <w:p w:rsidR="00221F25" w:rsidRPr="00BA2A27" w:rsidRDefault="00221F25">
            <w:pPr>
              <w:suppressLineNumbers/>
              <w:spacing w:line="360" w:lineRule="auto"/>
              <w:rPr>
                <w:b/>
                <w:bCs/>
                <w:sz w:val="26"/>
                <w:szCs w:val="26"/>
              </w:rPr>
            </w:pPr>
            <w:r w:rsidRPr="00BA2A27">
              <w:rPr>
                <w:rFonts w:ascii="David" w:eastAsia="David" w:hAnsi="David"/>
                <w:b/>
                <w:bCs/>
                <w:sz w:val="26"/>
                <w:szCs w:val="26"/>
                <w:rtl/>
              </w:rPr>
              <w:t>התובעים</w:t>
            </w:r>
            <w:r w:rsidR="00BA2A27" w:rsidRPr="00BA2A27">
              <w:rPr>
                <w:rFonts w:ascii="David" w:eastAsia="David" w:hAnsi="David" w:hint="cs"/>
                <w:b/>
                <w:bCs/>
                <w:sz w:val="26"/>
                <w:szCs w:val="26"/>
                <w:rtl/>
              </w:rPr>
              <w:t xml:space="preserve"> : </w:t>
            </w:r>
            <w:r w:rsidRPr="00BA2A27">
              <w:rPr>
                <w:rFonts w:ascii="David" w:eastAsia="David" w:hAnsi="David"/>
                <w:b/>
                <w:bCs/>
                <w:sz w:val="26"/>
                <w:szCs w:val="26"/>
                <w:rtl/>
              </w:rPr>
              <w:br/>
            </w:r>
            <w:r w:rsidRPr="00BA2A27">
              <w:rPr>
                <w:b/>
                <w:bCs/>
                <w:sz w:val="26"/>
                <w:szCs w:val="26"/>
                <w:rtl/>
              </w:rPr>
              <w:br/>
            </w:r>
          </w:p>
          <w:p w:rsidR="00221F25" w:rsidRPr="00BA2A27" w:rsidRDefault="00221F25">
            <w:pPr>
              <w:suppressLineNumbers/>
              <w:spacing w:line="360" w:lineRule="auto"/>
              <w:rPr>
                <w:b/>
                <w:bCs/>
                <w:sz w:val="26"/>
                <w:szCs w:val="26"/>
              </w:rPr>
            </w:pPr>
          </w:p>
          <w:p w:rsidR="00221F25" w:rsidRPr="00BA2A27" w:rsidRDefault="00221F25">
            <w:pPr>
              <w:suppressLineNumbers/>
              <w:spacing w:line="360" w:lineRule="auto"/>
              <w:rPr>
                <w:rFonts w:ascii="David" w:eastAsia="David" w:hAnsi="David"/>
                <w:b/>
                <w:bCs/>
                <w:sz w:val="26"/>
                <w:szCs w:val="26"/>
                <w:rtl/>
              </w:rPr>
            </w:pPr>
          </w:p>
          <w:p w:rsidR="00221F25" w:rsidRPr="00BA2A27" w:rsidRDefault="00221F25">
            <w:pPr>
              <w:suppressLineNumbers/>
              <w:spacing w:line="360" w:lineRule="auto"/>
              <w:rPr>
                <w:rFonts w:ascii="David" w:eastAsia="David" w:hAnsi="David"/>
                <w:b/>
                <w:bCs/>
                <w:sz w:val="26"/>
                <w:szCs w:val="26"/>
                <w:rtl/>
              </w:rPr>
            </w:pPr>
          </w:p>
          <w:p w:rsidR="00221F25" w:rsidRPr="00BA2A27" w:rsidRDefault="00221F25">
            <w:pPr>
              <w:suppressLineNumbers/>
              <w:spacing w:line="360" w:lineRule="auto"/>
              <w:rPr>
                <w:rFonts w:ascii="David" w:eastAsia="David" w:hAnsi="David"/>
                <w:b/>
                <w:bCs/>
                <w:sz w:val="26"/>
                <w:szCs w:val="26"/>
                <w:rtl/>
              </w:rPr>
            </w:pPr>
            <w:r w:rsidRPr="00BA2A27">
              <w:rPr>
                <w:rFonts w:ascii="David" w:eastAsia="David" w:hAnsi="David"/>
                <w:b/>
                <w:bCs/>
                <w:sz w:val="26"/>
                <w:szCs w:val="26"/>
                <w:rtl/>
              </w:rPr>
              <w:t>התובעים הפורמליים</w:t>
            </w:r>
            <w:r w:rsidR="00BA2A27" w:rsidRPr="00BA2A27">
              <w:rPr>
                <w:rFonts w:ascii="David" w:eastAsia="David" w:hAnsi="David" w:hint="cs"/>
                <w:b/>
                <w:bCs/>
                <w:sz w:val="26"/>
                <w:szCs w:val="26"/>
                <w:rtl/>
              </w:rPr>
              <w:t xml:space="preserve"> : </w:t>
            </w:r>
            <w:r w:rsidRPr="00BA2A27">
              <w:rPr>
                <w:b/>
                <w:bCs/>
                <w:sz w:val="26"/>
                <w:szCs w:val="26"/>
                <w:rtl/>
              </w:rPr>
              <w:br/>
            </w:r>
          </w:p>
        </w:tc>
        <w:tc>
          <w:tcPr>
            <w:tcW w:w="5734" w:type="dxa"/>
          </w:tcPr>
          <w:p w:rsidR="00221F25" w:rsidRPr="00BA2A27" w:rsidRDefault="00221F25" w:rsidP="00BA2A27">
            <w:pPr>
              <w:suppressLineNumbers/>
              <w:spacing w:line="360" w:lineRule="auto"/>
              <w:rPr>
                <w:sz w:val="26"/>
                <w:szCs w:val="26"/>
                <w:rtl/>
              </w:rPr>
            </w:pPr>
            <w:r w:rsidRPr="00BA2A27">
              <w:rPr>
                <w:rFonts w:ascii="David" w:eastAsia="David" w:hAnsi="David"/>
                <w:b/>
                <w:bCs/>
                <w:sz w:val="26"/>
                <w:szCs w:val="26"/>
              </w:rPr>
              <w:t>.1</w:t>
            </w:r>
            <w:r w:rsidRPr="00BA2A27">
              <w:rPr>
                <w:rFonts w:ascii="David" w:eastAsia="David" w:hAnsi="David"/>
                <w:b/>
                <w:bCs/>
                <w:sz w:val="26"/>
                <w:szCs w:val="26"/>
                <w:rtl/>
              </w:rPr>
              <w:t xml:space="preserve"> </w:t>
            </w:r>
            <w:r w:rsidR="00BA2A27" w:rsidRPr="00BA2A27">
              <w:rPr>
                <w:rFonts w:ascii="David" w:eastAsia="David" w:hAnsi="David" w:hint="cs"/>
                <w:b/>
                <w:bCs/>
                <w:sz w:val="26"/>
                <w:szCs w:val="26"/>
                <w:rtl/>
              </w:rPr>
              <w:t>פלונית</w:t>
            </w:r>
          </w:p>
          <w:p w:rsidR="00221F25" w:rsidRPr="00BA2A27" w:rsidRDefault="00221F25" w:rsidP="00BA2A27">
            <w:pPr>
              <w:suppressLineNumbers/>
              <w:spacing w:line="360" w:lineRule="auto"/>
              <w:rPr>
                <w:sz w:val="26"/>
                <w:szCs w:val="26"/>
                <w:rtl/>
              </w:rPr>
            </w:pPr>
            <w:r w:rsidRPr="00BA2A27">
              <w:rPr>
                <w:rFonts w:ascii="David" w:eastAsia="David" w:hAnsi="David"/>
                <w:b/>
                <w:bCs/>
                <w:sz w:val="26"/>
                <w:szCs w:val="26"/>
              </w:rPr>
              <w:t>.2</w:t>
            </w:r>
            <w:r w:rsidRPr="00BA2A27">
              <w:rPr>
                <w:rFonts w:ascii="David" w:eastAsia="David" w:hAnsi="David"/>
                <w:b/>
                <w:bCs/>
                <w:sz w:val="26"/>
                <w:szCs w:val="26"/>
                <w:rtl/>
              </w:rPr>
              <w:t xml:space="preserve"> </w:t>
            </w:r>
            <w:r w:rsidR="00BA2A27" w:rsidRPr="00BA2A27">
              <w:rPr>
                <w:rFonts w:ascii="David" w:eastAsia="David" w:hAnsi="David" w:hint="cs"/>
                <w:b/>
                <w:bCs/>
                <w:sz w:val="26"/>
                <w:szCs w:val="26"/>
                <w:rtl/>
              </w:rPr>
              <w:t>פלוני</w:t>
            </w:r>
          </w:p>
          <w:p w:rsidR="00221F25" w:rsidRPr="00BA2A27" w:rsidRDefault="00221F25" w:rsidP="00BA2A27">
            <w:pPr>
              <w:suppressLineNumbers/>
              <w:spacing w:line="360" w:lineRule="auto"/>
              <w:rPr>
                <w:sz w:val="26"/>
                <w:szCs w:val="26"/>
              </w:rPr>
            </w:pPr>
            <w:r w:rsidRPr="00BA2A27">
              <w:rPr>
                <w:rFonts w:ascii="David" w:eastAsia="David" w:hAnsi="David"/>
                <w:b/>
                <w:bCs/>
                <w:sz w:val="26"/>
                <w:szCs w:val="26"/>
              </w:rPr>
              <w:t>.3</w:t>
            </w:r>
            <w:r w:rsidRPr="00BA2A27">
              <w:rPr>
                <w:rFonts w:ascii="David" w:eastAsia="David" w:hAnsi="David"/>
                <w:b/>
                <w:bCs/>
                <w:sz w:val="26"/>
                <w:szCs w:val="26"/>
                <w:rtl/>
              </w:rPr>
              <w:t xml:space="preserve"> </w:t>
            </w:r>
            <w:r w:rsidR="00BA2A27" w:rsidRPr="00BA2A27">
              <w:rPr>
                <w:rFonts w:ascii="David" w:eastAsia="David" w:hAnsi="David" w:hint="cs"/>
                <w:b/>
                <w:bCs/>
                <w:sz w:val="26"/>
                <w:szCs w:val="26"/>
                <w:rtl/>
              </w:rPr>
              <w:t>פלוני</w:t>
            </w:r>
          </w:p>
          <w:p w:rsidR="00221F25" w:rsidRPr="00BA2A27" w:rsidRDefault="00221F25" w:rsidP="00BA2A27">
            <w:pPr>
              <w:suppressLineNumbers/>
              <w:spacing w:line="360" w:lineRule="auto"/>
              <w:rPr>
                <w:rFonts w:ascii="David" w:eastAsia="David" w:hAnsi="David"/>
                <w:b/>
                <w:bCs/>
                <w:sz w:val="26"/>
                <w:szCs w:val="26"/>
              </w:rPr>
            </w:pPr>
            <w:r w:rsidRPr="00BA2A27">
              <w:rPr>
                <w:rFonts w:ascii="David" w:eastAsia="David" w:hAnsi="David"/>
                <w:b/>
                <w:bCs/>
                <w:sz w:val="26"/>
                <w:szCs w:val="26"/>
              </w:rPr>
              <w:t>.4</w:t>
            </w:r>
            <w:r w:rsidRPr="00BA2A27">
              <w:rPr>
                <w:rFonts w:ascii="David" w:eastAsia="David" w:hAnsi="David"/>
                <w:b/>
                <w:bCs/>
                <w:sz w:val="26"/>
                <w:szCs w:val="26"/>
                <w:rtl/>
              </w:rPr>
              <w:t xml:space="preserve"> </w:t>
            </w:r>
            <w:r w:rsidR="00BA2A27" w:rsidRPr="00BA2A27">
              <w:rPr>
                <w:rFonts w:ascii="David" w:eastAsia="David" w:hAnsi="David" w:hint="cs"/>
                <w:b/>
                <w:bCs/>
                <w:sz w:val="26"/>
                <w:szCs w:val="26"/>
                <w:rtl/>
              </w:rPr>
              <w:t>פלוני</w:t>
            </w:r>
            <w:r w:rsidRPr="00BA2A27">
              <w:rPr>
                <w:rFonts w:ascii="David" w:eastAsia="David" w:hAnsi="David" w:hint="cs"/>
                <w:b/>
                <w:bCs/>
                <w:sz w:val="26"/>
                <w:szCs w:val="26"/>
                <w:rtl/>
              </w:rPr>
              <w:br/>
            </w:r>
            <w:r w:rsidRPr="00BA2A27">
              <w:rPr>
                <w:rFonts w:ascii="David" w:eastAsia="David" w:hAnsi="David"/>
                <w:rtl/>
              </w:rPr>
              <w:t>ע"י ב"כ עו"ד ענבל כספי גאון</w:t>
            </w:r>
          </w:p>
          <w:p w:rsidR="00221F25" w:rsidRPr="00BA2A27" w:rsidRDefault="00221F25">
            <w:pPr>
              <w:suppressLineNumbers/>
              <w:spacing w:line="360" w:lineRule="auto"/>
              <w:rPr>
                <w:rFonts w:ascii="David" w:eastAsia="David" w:hAnsi="David"/>
                <w:b/>
                <w:bCs/>
                <w:sz w:val="26"/>
                <w:szCs w:val="26"/>
                <w:rtl/>
              </w:rPr>
            </w:pPr>
          </w:p>
          <w:p w:rsidR="00221F25" w:rsidRPr="00BA2A27" w:rsidRDefault="00221F25" w:rsidP="00BA2A27">
            <w:pPr>
              <w:suppressLineNumbers/>
              <w:spacing w:line="360" w:lineRule="auto"/>
              <w:rPr>
                <w:sz w:val="26"/>
                <w:szCs w:val="26"/>
                <w:rtl/>
              </w:rPr>
            </w:pPr>
            <w:r w:rsidRPr="00BA2A27">
              <w:rPr>
                <w:rFonts w:ascii="David" w:eastAsia="David" w:hAnsi="David"/>
                <w:b/>
                <w:bCs/>
                <w:sz w:val="26"/>
                <w:szCs w:val="26"/>
                <w:rtl/>
              </w:rPr>
              <w:t xml:space="preserve">5. </w:t>
            </w:r>
            <w:r w:rsidR="00BA2A27" w:rsidRPr="00BA2A27">
              <w:rPr>
                <w:rFonts w:ascii="David" w:eastAsia="David" w:hAnsi="David" w:hint="cs"/>
                <w:b/>
                <w:bCs/>
                <w:sz w:val="26"/>
                <w:szCs w:val="26"/>
                <w:rtl/>
              </w:rPr>
              <w:t>פלונית</w:t>
            </w:r>
            <w:r w:rsidRPr="00BA2A27">
              <w:rPr>
                <w:b/>
                <w:bCs/>
                <w:sz w:val="26"/>
                <w:szCs w:val="26"/>
                <w:rtl/>
              </w:rPr>
              <w:br/>
            </w:r>
            <w:r w:rsidRPr="00BA2A27">
              <w:rPr>
                <w:rFonts w:ascii="David" w:eastAsia="David" w:hAnsi="David"/>
                <w:b/>
                <w:bCs/>
                <w:sz w:val="26"/>
                <w:szCs w:val="26"/>
                <w:rtl/>
              </w:rPr>
              <w:t xml:space="preserve">6. </w:t>
            </w:r>
            <w:r w:rsidR="00BA2A27" w:rsidRPr="00BA2A27">
              <w:rPr>
                <w:rFonts w:ascii="David" w:eastAsia="David" w:hAnsi="David" w:hint="cs"/>
                <w:b/>
                <w:bCs/>
                <w:sz w:val="26"/>
                <w:szCs w:val="26"/>
                <w:rtl/>
              </w:rPr>
              <w:t>פלונית</w:t>
            </w:r>
            <w:r w:rsidRPr="00BA2A27">
              <w:rPr>
                <w:b/>
                <w:bCs/>
                <w:sz w:val="26"/>
                <w:szCs w:val="26"/>
                <w:rtl/>
              </w:rPr>
              <w:br/>
            </w:r>
            <w:r w:rsidRPr="00BA2A27">
              <w:rPr>
                <w:rFonts w:ascii="David" w:eastAsia="David" w:hAnsi="David"/>
                <w:b/>
                <w:bCs/>
                <w:sz w:val="26"/>
                <w:szCs w:val="26"/>
                <w:rtl/>
              </w:rPr>
              <w:t xml:space="preserve">7. </w:t>
            </w:r>
            <w:r w:rsidR="00BA2A27" w:rsidRPr="00BA2A27">
              <w:rPr>
                <w:rFonts w:ascii="David" w:eastAsia="David" w:hAnsi="David" w:hint="cs"/>
                <w:b/>
                <w:bCs/>
                <w:sz w:val="26"/>
                <w:szCs w:val="26"/>
                <w:rtl/>
              </w:rPr>
              <w:t>פלונית</w:t>
            </w:r>
            <w:r w:rsidRPr="00BA2A27">
              <w:rPr>
                <w:rFonts w:ascii="David" w:eastAsia="David" w:hAnsi="David"/>
                <w:b/>
                <w:bCs/>
                <w:sz w:val="26"/>
                <w:szCs w:val="26"/>
                <w:rtl/>
              </w:rPr>
              <w:br/>
              <w:t xml:space="preserve">8. </w:t>
            </w:r>
            <w:r w:rsidR="00BA2A27" w:rsidRPr="00BA2A27">
              <w:rPr>
                <w:rFonts w:ascii="David" w:eastAsia="David" w:hAnsi="David" w:hint="cs"/>
                <w:b/>
                <w:bCs/>
                <w:sz w:val="26"/>
                <w:szCs w:val="26"/>
                <w:rtl/>
              </w:rPr>
              <w:t>פלונית</w:t>
            </w:r>
          </w:p>
        </w:tc>
      </w:tr>
      <w:tr w:rsidR="00221F25" w:rsidTr="00221F25">
        <w:tc>
          <w:tcPr>
            <w:tcW w:w="8980" w:type="dxa"/>
            <w:gridSpan w:val="2"/>
          </w:tcPr>
          <w:p w:rsidR="00221F25" w:rsidRDefault="00221F25">
            <w:pPr>
              <w:suppressLineNumbers/>
              <w:spacing w:line="360" w:lineRule="auto"/>
              <w:rPr>
                <w:rFonts w:ascii="David" w:eastAsia="David" w:hAnsi="David"/>
                <w:b/>
                <w:bCs/>
                <w:rtl/>
              </w:rPr>
            </w:pPr>
          </w:p>
          <w:p w:rsidR="00221F25" w:rsidRPr="00BA2A27" w:rsidRDefault="00221F25">
            <w:pPr>
              <w:suppressLineNumbers/>
              <w:spacing w:line="360" w:lineRule="auto"/>
              <w:jc w:val="center"/>
              <w:rPr>
                <w:rFonts w:ascii="David" w:eastAsia="David" w:hAnsi="David"/>
                <w:sz w:val="26"/>
                <w:szCs w:val="26"/>
              </w:rPr>
            </w:pPr>
            <w:r w:rsidRPr="00BA2A27">
              <w:rPr>
                <w:rFonts w:ascii="David" w:eastAsia="David" w:hAnsi="David"/>
                <w:sz w:val="26"/>
                <w:szCs w:val="26"/>
                <w:rtl/>
              </w:rPr>
              <w:t>נ</w:t>
            </w:r>
            <w:r w:rsidR="00BA2A27" w:rsidRPr="00BA2A27">
              <w:rPr>
                <w:rFonts w:ascii="David" w:eastAsia="David" w:hAnsi="David" w:hint="cs"/>
                <w:sz w:val="26"/>
                <w:szCs w:val="26"/>
                <w:rtl/>
              </w:rPr>
              <w:t xml:space="preserve">  </w:t>
            </w:r>
            <w:r w:rsidRPr="00BA2A27">
              <w:rPr>
                <w:rFonts w:ascii="David" w:eastAsia="David" w:hAnsi="David"/>
                <w:sz w:val="26"/>
                <w:szCs w:val="26"/>
                <w:rtl/>
              </w:rPr>
              <w:t>ג</w:t>
            </w:r>
            <w:r w:rsidR="00BA2A27" w:rsidRPr="00BA2A27">
              <w:rPr>
                <w:rFonts w:ascii="David" w:eastAsia="David" w:hAnsi="David" w:hint="cs"/>
                <w:sz w:val="26"/>
                <w:szCs w:val="26"/>
                <w:rtl/>
              </w:rPr>
              <w:t xml:space="preserve">  </w:t>
            </w:r>
            <w:r w:rsidRPr="00BA2A27">
              <w:rPr>
                <w:rFonts w:ascii="David" w:eastAsia="David" w:hAnsi="David"/>
                <w:sz w:val="26"/>
                <w:szCs w:val="26"/>
                <w:rtl/>
              </w:rPr>
              <w:t>ד</w:t>
            </w:r>
          </w:p>
          <w:p w:rsidR="00221F25" w:rsidRDefault="00221F25">
            <w:pPr>
              <w:suppressLineNumbers/>
              <w:spacing w:line="360" w:lineRule="auto"/>
              <w:rPr>
                <w:rFonts w:ascii="David" w:eastAsia="David" w:hAnsi="David"/>
                <w:b/>
                <w:bCs/>
                <w:rtl/>
              </w:rPr>
            </w:pPr>
          </w:p>
        </w:tc>
      </w:tr>
      <w:tr w:rsidR="00221F25" w:rsidTr="00221F25">
        <w:trPr>
          <w:trHeight w:val="283"/>
        </w:trPr>
        <w:tc>
          <w:tcPr>
            <w:tcW w:w="3246" w:type="dxa"/>
            <w:hideMark/>
          </w:tcPr>
          <w:p w:rsidR="00221F25" w:rsidRDefault="00221F25">
            <w:pPr>
              <w:suppressLineNumbers/>
              <w:spacing w:line="360" w:lineRule="auto"/>
              <w:rPr>
                <w:rFonts w:ascii="David" w:eastAsia="David" w:hAnsi="David"/>
                <w:b/>
                <w:bCs/>
                <w:rtl/>
              </w:rPr>
            </w:pPr>
            <w:r w:rsidRPr="00BA2A27">
              <w:rPr>
                <w:rFonts w:ascii="David" w:eastAsia="David" w:hAnsi="David"/>
                <w:b/>
                <w:bCs/>
                <w:sz w:val="26"/>
                <w:szCs w:val="26"/>
                <w:rtl/>
              </w:rPr>
              <w:t>הנתבעת</w:t>
            </w:r>
            <w:r w:rsidR="00BA2A27">
              <w:rPr>
                <w:rFonts w:ascii="David" w:eastAsia="David" w:hAnsi="David" w:hint="cs"/>
                <w:b/>
                <w:bCs/>
                <w:rtl/>
              </w:rPr>
              <w:t xml:space="preserve"> : </w:t>
            </w:r>
          </w:p>
        </w:tc>
        <w:tc>
          <w:tcPr>
            <w:tcW w:w="5734" w:type="dxa"/>
            <w:hideMark/>
          </w:tcPr>
          <w:p w:rsidR="00221F25" w:rsidRPr="00BA2A27" w:rsidRDefault="00BA2A27">
            <w:pPr>
              <w:suppressLineNumbers/>
              <w:spacing w:line="360" w:lineRule="auto"/>
              <w:rPr>
                <w:rFonts w:ascii="David" w:eastAsia="David" w:hAnsi="David"/>
                <w:b/>
                <w:bCs/>
                <w:sz w:val="26"/>
                <w:szCs w:val="26"/>
                <w:rtl/>
              </w:rPr>
            </w:pPr>
            <w:r w:rsidRPr="00BA2A27">
              <w:rPr>
                <w:rFonts w:ascii="David" w:eastAsia="David" w:hAnsi="David" w:hint="cs"/>
                <w:b/>
                <w:bCs/>
                <w:sz w:val="26"/>
                <w:szCs w:val="26"/>
                <w:rtl/>
              </w:rPr>
              <w:t>אלמונית</w:t>
            </w:r>
          </w:p>
          <w:p w:rsidR="00221F25" w:rsidRDefault="00221F25">
            <w:pPr>
              <w:suppressLineNumbers/>
              <w:spacing w:line="360" w:lineRule="auto"/>
              <w:rPr>
                <w:rFonts w:ascii="David" w:eastAsia="David" w:hAnsi="David"/>
                <w:b/>
                <w:bCs/>
                <w:rtl/>
              </w:rPr>
            </w:pPr>
            <w:r>
              <w:rPr>
                <w:rFonts w:ascii="David" w:eastAsia="David" w:hAnsi="David"/>
                <w:rtl/>
              </w:rPr>
              <w:t>ע"י ב"כ עו"ד כמיל מנסור</w:t>
            </w:r>
          </w:p>
        </w:tc>
      </w:tr>
    </w:tbl>
    <w:p w:rsidR="001434F7" w:rsidRPr="00221F25" w:rsidRDefault="000E54FA"/>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BA2A27" w:rsidRDefault="00005C8B">
            <w:pPr>
              <w:bidi w:val="0"/>
              <w:jc w:val="center"/>
              <w:rPr>
                <w:rFonts w:ascii="Arial" w:hAnsi="Arial"/>
                <w:b/>
                <w:bCs/>
                <w:noProof w:val="0"/>
                <w:sz w:val="36"/>
                <w:szCs w:val="36"/>
                <w:u w:val="single"/>
              </w:rPr>
            </w:pPr>
            <w:r w:rsidRPr="00BA2A27">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221F25" w:rsidRDefault="00221F25" w:rsidP="00221F25">
      <w:pPr>
        <w:spacing w:line="360" w:lineRule="auto"/>
        <w:jc w:val="both"/>
        <w:rPr>
          <w:rFonts w:ascii="Arial" w:hAnsi="Arial"/>
          <w:noProof w:val="0"/>
        </w:rPr>
      </w:pPr>
      <w:r>
        <w:rPr>
          <w:rFonts w:ascii="Arial" w:hAnsi="Arial"/>
          <w:noProof w:val="0"/>
          <w:rtl/>
        </w:rPr>
        <w:t xml:space="preserve">בהמשך לבקשה שהוגשה לסילוק התביעה על הסף מפאת חוסר סמכות עניינית, ולאחר עיון בטענות הצדדים בכתובים ושמיעתם בדיון שנערך בפניי, תינתן להלן החלטתי. </w:t>
      </w:r>
    </w:p>
    <w:p w:rsidR="00221F25" w:rsidRDefault="00221F25" w:rsidP="00221F25">
      <w:pPr>
        <w:spacing w:line="360" w:lineRule="auto"/>
        <w:jc w:val="both"/>
        <w:rPr>
          <w:rFonts w:ascii="Arial" w:hAnsi="Arial"/>
          <w:noProof w:val="0"/>
          <w:rtl/>
        </w:rPr>
      </w:pPr>
    </w:p>
    <w:p w:rsidR="00221F25" w:rsidRDefault="00221F25" w:rsidP="00221F25">
      <w:pPr>
        <w:spacing w:line="360" w:lineRule="auto"/>
        <w:jc w:val="both"/>
        <w:rPr>
          <w:rFonts w:ascii="Arial" w:hAnsi="Arial"/>
          <w:b/>
          <w:bCs/>
          <w:noProof w:val="0"/>
          <w:u w:val="single"/>
          <w:rtl/>
        </w:rPr>
      </w:pPr>
      <w:r>
        <w:rPr>
          <w:rFonts w:ascii="Arial" w:hAnsi="Arial"/>
          <w:b/>
          <w:bCs/>
          <w:noProof w:val="0"/>
          <w:u w:val="single"/>
          <w:rtl/>
        </w:rPr>
        <w:t>העובדות שאינן שנויות במחלוקת</w:t>
      </w:r>
    </w:p>
    <w:p w:rsidR="00221F25" w:rsidRDefault="00221F25" w:rsidP="00221F25">
      <w:pPr>
        <w:spacing w:line="360" w:lineRule="auto"/>
        <w:jc w:val="both"/>
        <w:rPr>
          <w:rFonts w:ascii="Arial" w:hAnsi="Arial"/>
          <w:noProof w:val="0"/>
          <w:rtl/>
        </w:rPr>
      </w:pPr>
    </w:p>
    <w:p w:rsidR="00221F25" w:rsidRDefault="00221F25" w:rsidP="00BA2A27">
      <w:pPr>
        <w:pStyle w:val="ad"/>
        <w:numPr>
          <w:ilvl w:val="0"/>
          <w:numId w:val="2"/>
        </w:numPr>
        <w:spacing w:line="360" w:lineRule="auto"/>
        <w:ind w:left="0"/>
        <w:jc w:val="both"/>
        <w:rPr>
          <w:rFonts w:ascii="Arial" w:hAnsi="Arial"/>
          <w:noProof w:val="0"/>
          <w:rtl/>
        </w:rPr>
      </w:pPr>
      <w:r>
        <w:rPr>
          <w:rFonts w:ascii="Arial" w:hAnsi="Arial"/>
          <w:noProof w:val="0"/>
          <w:rtl/>
        </w:rPr>
        <w:t xml:space="preserve">המנוח מר </w:t>
      </w:r>
      <w:r w:rsidR="00BA2A27">
        <w:rPr>
          <w:rFonts w:ascii="Arial" w:hAnsi="Arial" w:hint="cs"/>
          <w:noProof w:val="0"/>
          <w:rtl/>
        </w:rPr>
        <w:t>[...]</w:t>
      </w:r>
      <w:r>
        <w:rPr>
          <w:rFonts w:ascii="Arial" w:hAnsi="Arial"/>
          <w:noProof w:val="0"/>
          <w:rtl/>
        </w:rPr>
        <w:t xml:space="preserve"> ז"ל (להלן – "</w:t>
      </w:r>
      <w:r>
        <w:rPr>
          <w:rFonts w:ascii="Arial" w:hAnsi="Arial"/>
          <w:b/>
          <w:bCs/>
          <w:noProof w:val="0"/>
          <w:rtl/>
        </w:rPr>
        <w:t>המנוח</w:t>
      </w:r>
      <w:r>
        <w:rPr>
          <w:rFonts w:ascii="Arial" w:hAnsi="Arial"/>
          <w:noProof w:val="0"/>
          <w:rtl/>
        </w:rPr>
        <w:t xml:space="preserve">") הלך לעולמו ביום </w:t>
      </w:r>
      <w:r w:rsidR="00BA2A27">
        <w:rPr>
          <w:rFonts w:ascii="Arial" w:hAnsi="Arial" w:hint="cs"/>
          <w:noProof w:val="0"/>
          <w:rtl/>
        </w:rPr>
        <w:t>00</w:t>
      </w:r>
      <w:r>
        <w:rPr>
          <w:rFonts w:ascii="Arial" w:hAnsi="Arial"/>
          <w:noProof w:val="0"/>
          <w:rtl/>
        </w:rPr>
        <w:t>.</w:t>
      </w:r>
      <w:r w:rsidR="00BA2A27">
        <w:rPr>
          <w:rFonts w:ascii="Arial" w:hAnsi="Arial" w:hint="cs"/>
          <w:noProof w:val="0"/>
          <w:rtl/>
        </w:rPr>
        <w:t>00</w:t>
      </w:r>
      <w:r>
        <w:rPr>
          <w:rFonts w:ascii="Arial" w:hAnsi="Arial"/>
          <w:noProof w:val="0"/>
          <w:rtl/>
        </w:rPr>
        <w:t>.21. התובעת מס' 1, היא אמו של המנוח (להלן – "</w:t>
      </w:r>
      <w:r>
        <w:rPr>
          <w:rFonts w:ascii="Arial" w:hAnsi="Arial"/>
          <w:b/>
          <w:bCs/>
          <w:noProof w:val="0"/>
          <w:rtl/>
        </w:rPr>
        <w:t>התובעת</w:t>
      </w:r>
      <w:r>
        <w:rPr>
          <w:rFonts w:ascii="Arial" w:hAnsi="Arial"/>
          <w:noProof w:val="0"/>
          <w:rtl/>
        </w:rPr>
        <w:t>" או "</w:t>
      </w:r>
      <w:r>
        <w:rPr>
          <w:rFonts w:ascii="Arial" w:hAnsi="Arial"/>
          <w:b/>
          <w:bCs/>
          <w:noProof w:val="0"/>
          <w:rtl/>
        </w:rPr>
        <w:t>האם</w:t>
      </w:r>
      <w:r>
        <w:rPr>
          <w:rFonts w:ascii="Arial" w:hAnsi="Arial"/>
          <w:noProof w:val="0"/>
          <w:rtl/>
        </w:rPr>
        <w:t>"), והתובעים 8-2 הם אחיו ואחיותיו. הנתבעת, היא אלמנתו של המנוח (להלן – "</w:t>
      </w:r>
      <w:r>
        <w:rPr>
          <w:rFonts w:ascii="Arial" w:hAnsi="Arial"/>
          <w:b/>
          <w:bCs/>
          <w:noProof w:val="0"/>
          <w:rtl/>
        </w:rPr>
        <w:t>הנתבעת</w:t>
      </w:r>
      <w:r>
        <w:rPr>
          <w:rFonts w:ascii="Arial" w:hAnsi="Arial"/>
          <w:noProof w:val="0"/>
          <w:rtl/>
        </w:rPr>
        <w:t>" או "</w:t>
      </w:r>
      <w:r>
        <w:rPr>
          <w:rFonts w:ascii="Arial" w:hAnsi="Arial"/>
          <w:b/>
          <w:bCs/>
          <w:noProof w:val="0"/>
          <w:rtl/>
        </w:rPr>
        <w:t>האלמנה</w:t>
      </w:r>
      <w:r>
        <w:rPr>
          <w:rFonts w:ascii="Arial" w:hAnsi="Arial"/>
          <w:noProof w:val="0"/>
          <w:rtl/>
        </w:rPr>
        <w:t>"). הצדדים כולם הם בני העדה הדרוזית ואין חולק שהמנוח לא הותיר אחריו צוואה.</w:t>
      </w:r>
    </w:p>
    <w:p w:rsidR="00221F25" w:rsidRDefault="00221F25" w:rsidP="00221F25">
      <w:pPr>
        <w:pStyle w:val="ad"/>
        <w:spacing w:line="360" w:lineRule="auto"/>
        <w:ind w:left="0"/>
        <w:jc w:val="both"/>
        <w:rPr>
          <w:rFonts w:ascii="Arial" w:hAnsi="Arial"/>
          <w:noProof w:val="0"/>
          <w:rtl/>
        </w:rPr>
      </w:pPr>
    </w:p>
    <w:p w:rsidR="00221F25" w:rsidRDefault="00221F25" w:rsidP="00BA2A27">
      <w:pPr>
        <w:pStyle w:val="ad"/>
        <w:numPr>
          <w:ilvl w:val="0"/>
          <w:numId w:val="2"/>
        </w:numPr>
        <w:spacing w:line="360" w:lineRule="auto"/>
        <w:ind w:left="0"/>
        <w:jc w:val="both"/>
        <w:rPr>
          <w:rFonts w:ascii="Arial" w:hAnsi="Arial"/>
          <w:noProof w:val="0"/>
        </w:rPr>
      </w:pPr>
      <w:r>
        <w:rPr>
          <w:rFonts w:ascii="Arial" w:hAnsi="Arial"/>
          <w:noProof w:val="0"/>
          <w:rtl/>
        </w:rPr>
        <w:t>ביום 24.5.21 ניתן לבקשת האלמנה צו ירושה אחר המנוח מטעם בית הדין הדרוזי ב</w:t>
      </w:r>
      <w:r w:rsidR="00BA2A27">
        <w:rPr>
          <w:rFonts w:ascii="Arial" w:hAnsi="Arial" w:hint="cs"/>
          <w:noProof w:val="0"/>
          <w:rtl/>
        </w:rPr>
        <w:t>[...]</w:t>
      </w:r>
      <w:r>
        <w:rPr>
          <w:rFonts w:ascii="Arial" w:hAnsi="Arial"/>
          <w:noProof w:val="0"/>
          <w:rtl/>
        </w:rPr>
        <w:t xml:space="preserve"> (תיק מס' </w:t>
      </w:r>
      <w:r w:rsidR="00BA2A27">
        <w:rPr>
          <w:rFonts w:ascii="Arial" w:hAnsi="Arial" w:hint="cs"/>
          <w:noProof w:val="0"/>
          <w:rtl/>
        </w:rPr>
        <w:t>000</w:t>
      </w:r>
      <w:r>
        <w:rPr>
          <w:rFonts w:ascii="Arial" w:hAnsi="Arial"/>
          <w:noProof w:val="0"/>
          <w:rtl/>
        </w:rPr>
        <w:t>/21) (להלן – "</w:t>
      </w:r>
      <w:r>
        <w:rPr>
          <w:rFonts w:ascii="Arial" w:hAnsi="Arial"/>
          <w:b/>
          <w:bCs/>
          <w:noProof w:val="0"/>
          <w:rtl/>
        </w:rPr>
        <w:t>הצו</w:t>
      </w:r>
      <w:r>
        <w:rPr>
          <w:rFonts w:ascii="Arial" w:hAnsi="Arial"/>
          <w:noProof w:val="0"/>
          <w:rtl/>
        </w:rPr>
        <w:t xml:space="preserve">"). הצו צורף לכתב התביעה בנוסחו בערבית בצירוף תרגום לעברית. על פי הצו, יורשותיו של המנוח הנן - </w:t>
      </w:r>
      <w:r>
        <w:rPr>
          <w:rFonts w:ascii="Arial" w:hAnsi="Arial"/>
          <w:b/>
          <w:bCs/>
          <w:noProof w:val="0"/>
          <w:rtl/>
        </w:rPr>
        <w:t>האם והאלמנה</w:t>
      </w:r>
      <w:r>
        <w:rPr>
          <w:rFonts w:ascii="Arial" w:hAnsi="Arial"/>
          <w:noProof w:val="0"/>
          <w:rtl/>
        </w:rPr>
        <w:t xml:space="preserve">. </w:t>
      </w:r>
    </w:p>
    <w:p w:rsidR="00221F25" w:rsidRDefault="00221F25" w:rsidP="00221F25">
      <w:pPr>
        <w:pStyle w:val="ad"/>
        <w:rPr>
          <w:rFonts w:ascii="Arial" w:hAnsi="Arial"/>
          <w:noProof w:val="0"/>
        </w:rPr>
      </w:pPr>
    </w:p>
    <w:p w:rsidR="00221F25" w:rsidRDefault="00221F25" w:rsidP="00BA2A27">
      <w:pPr>
        <w:pStyle w:val="ad"/>
        <w:numPr>
          <w:ilvl w:val="0"/>
          <w:numId w:val="2"/>
        </w:numPr>
        <w:spacing w:line="360" w:lineRule="auto"/>
        <w:ind w:left="0"/>
        <w:jc w:val="both"/>
        <w:rPr>
          <w:rFonts w:ascii="Arial" w:hAnsi="Arial"/>
          <w:noProof w:val="0"/>
          <w:rtl/>
        </w:rPr>
      </w:pPr>
      <w:r>
        <w:rPr>
          <w:rFonts w:ascii="Arial" w:hAnsi="Arial"/>
          <w:noProof w:val="0"/>
          <w:rtl/>
        </w:rPr>
        <w:t>לבקשת האם וה</w:t>
      </w:r>
      <w:r w:rsidR="00BA2A27">
        <w:rPr>
          <w:rFonts w:ascii="Arial" w:hAnsi="Arial"/>
          <w:noProof w:val="0"/>
          <w:rtl/>
        </w:rPr>
        <w:t>אלמנה, במסגרת אישור הצו אף אושר</w:t>
      </w:r>
      <w:r>
        <w:rPr>
          <w:rFonts w:ascii="Arial" w:hAnsi="Arial"/>
          <w:noProof w:val="0"/>
          <w:rtl/>
        </w:rPr>
        <w:t xml:space="preserve"> הסכם חלוקת העזבון שנחתם בין האם לבין האלמנה ביום </w:t>
      </w:r>
      <w:r w:rsidR="00BA2A27">
        <w:rPr>
          <w:rFonts w:ascii="Arial" w:hAnsi="Arial" w:hint="cs"/>
          <w:noProof w:val="0"/>
          <w:rtl/>
        </w:rPr>
        <w:t>00</w:t>
      </w:r>
      <w:r>
        <w:rPr>
          <w:rFonts w:ascii="Arial" w:hAnsi="Arial"/>
          <w:noProof w:val="0"/>
          <w:rtl/>
        </w:rPr>
        <w:t>.</w:t>
      </w:r>
      <w:r w:rsidR="00BA2A27">
        <w:rPr>
          <w:rFonts w:ascii="Arial" w:hAnsi="Arial" w:hint="cs"/>
          <w:noProof w:val="0"/>
          <w:rtl/>
        </w:rPr>
        <w:t>00</w:t>
      </w:r>
      <w:r>
        <w:rPr>
          <w:rFonts w:ascii="Arial" w:hAnsi="Arial"/>
          <w:noProof w:val="0"/>
          <w:rtl/>
        </w:rPr>
        <w:t>.21 וניתן לו תוקף של החלטה. ההסכם אושר כחלק בלתי נפרד מצו הירושה כאמור (להלן – "</w:t>
      </w:r>
      <w:r>
        <w:rPr>
          <w:rFonts w:ascii="Arial" w:hAnsi="Arial"/>
          <w:b/>
          <w:bCs/>
          <w:noProof w:val="0"/>
          <w:rtl/>
        </w:rPr>
        <w:t>ההסכם</w:t>
      </w:r>
      <w:r>
        <w:rPr>
          <w:rFonts w:ascii="Arial" w:hAnsi="Arial"/>
          <w:noProof w:val="0"/>
          <w:rtl/>
        </w:rPr>
        <w:t>"). תמצית הוראות ההסכם היא שהאלמנה יורשת את החלק הארי מעזבון המנוח, לרבות בית המגורים והחלקה עליה בנוי (להלן – "</w:t>
      </w:r>
      <w:r>
        <w:rPr>
          <w:rFonts w:ascii="Arial" w:hAnsi="Arial"/>
          <w:b/>
          <w:bCs/>
          <w:noProof w:val="0"/>
          <w:rtl/>
        </w:rPr>
        <w:t>החלקה</w:t>
      </w:r>
      <w:r>
        <w:rPr>
          <w:rFonts w:ascii="Arial" w:hAnsi="Arial"/>
          <w:noProof w:val="0"/>
          <w:rtl/>
        </w:rPr>
        <w:t>"), כלי הרכב, זכויות כספיות וסוציאליות, וכל זכות אחרת ללא יוצא מן הכלל. מנגד, לאם יוקנו זכויות המנוח בחלקה פלונית בלבד – מקרקעין נפרדים מהחלקה עליה התגוררו המנוח והאלמנה.</w:t>
      </w:r>
    </w:p>
    <w:p w:rsidR="00221F25" w:rsidRDefault="00221F25" w:rsidP="00221F25">
      <w:pPr>
        <w:spacing w:line="360" w:lineRule="auto"/>
        <w:jc w:val="both"/>
        <w:rPr>
          <w:rFonts w:ascii="Arial" w:hAnsi="Arial"/>
          <w:noProof w:val="0"/>
          <w:rtl/>
        </w:rPr>
      </w:pPr>
    </w:p>
    <w:p w:rsidR="00221F25" w:rsidRDefault="00221F25" w:rsidP="00221F25">
      <w:pPr>
        <w:pStyle w:val="ad"/>
        <w:numPr>
          <w:ilvl w:val="0"/>
          <w:numId w:val="2"/>
        </w:numPr>
        <w:spacing w:line="360" w:lineRule="auto"/>
        <w:ind w:left="0"/>
        <w:jc w:val="both"/>
        <w:rPr>
          <w:rFonts w:ascii="Arial" w:hAnsi="Arial"/>
          <w:noProof w:val="0"/>
          <w:rtl/>
        </w:rPr>
      </w:pPr>
      <w:r>
        <w:rPr>
          <w:rFonts w:ascii="Arial" w:hAnsi="Arial"/>
          <w:noProof w:val="0"/>
          <w:rtl/>
        </w:rPr>
        <w:t xml:space="preserve">יצוין עוד שלכתב התביעה צורפה בקשת האלמנה למתן צו ירושה מבית הדין הדרוזי, ממנה עולה </w:t>
      </w:r>
      <w:r>
        <w:rPr>
          <w:rFonts w:ascii="Arial" w:hAnsi="Arial"/>
          <w:b/>
          <w:bCs/>
          <w:noProof w:val="0"/>
          <w:rtl/>
        </w:rPr>
        <w:t>שהאם והאלמנה חתמו שתיהן על הבקשה, בנוסף לחתימתן על ההסכם.</w:t>
      </w:r>
      <w:r>
        <w:rPr>
          <w:rFonts w:ascii="Arial" w:hAnsi="Arial"/>
          <w:noProof w:val="0"/>
          <w:rtl/>
        </w:rPr>
        <w:t xml:space="preserve"> אין חולק עוד, שעל בסיס ההסכם נרשמו זכויותיה של האלמנה על החלקה.</w:t>
      </w:r>
    </w:p>
    <w:p w:rsidR="00221F25" w:rsidRDefault="00221F25" w:rsidP="00221F25">
      <w:pPr>
        <w:spacing w:line="360" w:lineRule="auto"/>
        <w:jc w:val="both"/>
        <w:rPr>
          <w:rFonts w:ascii="Arial" w:hAnsi="Arial"/>
          <w:noProof w:val="0"/>
          <w:rtl/>
        </w:rPr>
      </w:pPr>
    </w:p>
    <w:p w:rsidR="00221F25" w:rsidRDefault="00221F25" w:rsidP="00221F25">
      <w:pPr>
        <w:spacing w:line="360" w:lineRule="auto"/>
        <w:jc w:val="both"/>
        <w:rPr>
          <w:rFonts w:ascii="Arial" w:hAnsi="Arial"/>
          <w:b/>
          <w:bCs/>
          <w:noProof w:val="0"/>
          <w:u w:val="single"/>
          <w:rtl/>
        </w:rPr>
      </w:pPr>
      <w:r>
        <w:rPr>
          <w:rFonts w:ascii="Arial" w:hAnsi="Arial"/>
          <w:b/>
          <w:bCs/>
          <w:noProof w:val="0"/>
          <w:u w:val="single"/>
          <w:rtl/>
        </w:rPr>
        <w:t>טענות הצדדים בדיון ובכתובים</w:t>
      </w:r>
    </w:p>
    <w:p w:rsidR="00221F25" w:rsidRDefault="00221F25" w:rsidP="00221F25">
      <w:pPr>
        <w:spacing w:line="360" w:lineRule="auto"/>
        <w:jc w:val="both"/>
        <w:rPr>
          <w:rFonts w:ascii="Arial" w:hAnsi="Arial"/>
          <w:noProof w:val="0"/>
          <w:rtl/>
        </w:rPr>
      </w:pPr>
    </w:p>
    <w:p w:rsidR="00221F25" w:rsidRDefault="00221F25" w:rsidP="00221F25">
      <w:pPr>
        <w:pStyle w:val="ad"/>
        <w:numPr>
          <w:ilvl w:val="0"/>
          <w:numId w:val="2"/>
        </w:numPr>
        <w:spacing w:line="360" w:lineRule="auto"/>
        <w:ind w:left="0"/>
        <w:jc w:val="both"/>
        <w:rPr>
          <w:rFonts w:ascii="Arial" w:hAnsi="Arial"/>
          <w:noProof w:val="0"/>
          <w:rtl/>
        </w:rPr>
      </w:pPr>
      <w:r>
        <w:rPr>
          <w:rFonts w:ascii="Arial" w:hAnsi="Arial"/>
          <w:noProof w:val="0"/>
          <w:rtl/>
        </w:rPr>
        <w:t xml:space="preserve">כתב התביעה הוגשה מלכתחילה על ידי האם ושלושת ילדיה. עם זאת, במעמד הדיון שנוהל בפניי ביום 5.1.23 נטען כי אין עוד טענה בדבר זכותם של אחי המנוח לרשת את המנוח (עמ' 1 לפרו' ש' 16-17) בנסיבות אלו ברי כי אין לתובעים 2-4 מעמד ויש להורות על מחיקתם מכתב התביעה, עוד קודם לדיון לגופם של דברים. כפי שאראה בהמשך, עניין זה אף משליך על סוגיית הסמכות. </w:t>
      </w:r>
    </w:p>
    <w:p w:rsidR="00221F25" w:rsidRDefault="00221F25" w:rsidP="00221F25">
      <w:pPr>
        <w:spacing w:line="360" w:lineRule="auto"/>
        <w:jc w:val="both"/>
        <w:rPr>
          <w:rFonts w:ascii="Arial" w:hAnsi="Arial"/>
          <w:noProof w:val="0"/>
          <w:rtl/>
        </w:rPr>
      </w:pPr>
    </w:p>
    <w:p w:rsidR="00221F25" w:rsidRDefault="00221F25" w:rsidP="00221F25">
      <w:pPr>
        <w:pStyle w:val="ad"/>
        <w:numPr>
          <w:ilvl w:val="0"/>
          <w:numId w:val="2"/>
        </w:numPr>
        <w:spacing w:line="360" w:lineRule="auto"/>
        <w:ind w:left="0"/>
        <w:jc w:val="both"/>
        <w:rPr>
          <w:rFonts w:ascii="Arial" w:hAnsi="Arial"/>
          <w:noProof w:val="0"/>
          <w:rtl/>
        </w:rPr>
      </w:pPr>
      <w:r>
        <w:rPr>
          <w:rFonts w:ascii="Arial" w:hAnsi="Arial"/>
          <w:noProof w:val="0"/>
          <w:rtl/>
        </w:rPr>
        <w:t xml:space="preserve">בכתב התביעה נטען כי האלמנה פנתה בשעתו לתובעת, אשר אינה יודעת קרוא וכתוב ואינה בקיאה בשפה העברית וביקשה ממנה להתלוות אליה למשרד עו"ד על מנת לערוך הסכם בין יורשים, במסגרתו תוותר התובעת על כלל רכושו של המנוח, למעט חלקת אדמה ולעומתה תזכה האלמנה בכל עזבונו של המנוח, לרבות כספים וזכויות. התובעת חתמה על ההסכם מבלי שידעה על מה היא חותמת ותוך שהדברים שהוסברו לה בעל פה לא באו לידי ביטוי באמור בהסכם. התובעת על פי הנטען סמכה בעיניים עצומות על הנתבעת וחתמה מבלי שהבינה על מה היא חותמת ומבלי שהאמור בהסכם הוסבר לה בשפתה. הנתבעת ניצלה את חוסר ידיעתה של התובעת ודאגה להחתים אותה על הסכם שאין היא מבינה את תוצאותיו המשפטיות. כן נטען כי ההסכם אינו חוקי, לתובעת לא היתה גמירות דעת וכן נטען לטעות והטעיה בכריתת חוזה ולעילת העושק. </w:t>
      </w:r>
    </w:p>
    <w:p w:rsidR="00221F25" w:rsidRDefault="00221F25" w:rsidP="00221F25">
      <w:pPr>
        <w:spacing w:line="360" w:lineRule="auto"/>
        <w:jc w:val="both"/>
        <w:rPr>
          <w:rFonts w:ascii="Arial" w:hAnsi="Arial"/>
          <w:noProof w:val="0"/>
          <w:rtl/>
        </w:rPr>
      </w:pPr>
    </w:p>
    <w:p w:rsidR="00221F25" w:rsidRDefault="00221F25" w:rsidP="00BA2A27">
      <w:pPr>
        <w:pStyle w:val="ad"/>
        <w:numPr>
          <w:ilvl w:val="0"/>
          <w:numId w:val="2"/>
        </w:numPr>
        <w:spacing w:line="360" w:lineRule="auto"/>
        <w:ind w:left="0"/>
        <w:jc w:val="both"/>
        <w:rPr>
          <w:rFonts w:ascii="Arial" w:hAnsi="Arial"/>
          <w:noProof w:val="0"/>
        </w:rPr>
      </w:pPr>
      <w:r>
        <w:rPr>
          <w:rFonts w:ascii="Arial" w:hAnsi="Arial"/>
          <w:noProof w:val="0"/>
          <w:rtl/>
        </w:rPr>
        <w:t xml:space="preserve">הנתבעת בכתב ההגנה טענה מספר טענות מקדמיות, כדלקמן. </w:t>
      </w:r>
      <w:r>
        <w:rPr>
          <w:rFonts w:ascii="Arial" w:hAnsi="Arial"/>
          <w:b/>
          <w:bCs/>
          <w:noProof w:val="0"/>
          <w:rtl/>
        </w:rPr>
        <w:t>ראשית,</w:t>
      </w:r>
      <w:r>
        <w:rPr>
          <w:rFonts w:ascii="Arial" w:hAnsi="Arial"/>
          <w:noProof w:val="0"/>
          <w:rtl/>
        </w:rPr>
        <w:t xml:space="preserve"> נטען כי בית משפט זה נעדר סמכות עניינית לדון בתביעה, זאת מאחר וביה"ד הדרוזי ב</w:t>
      </w:r>
      <w:r w:rsidR="00BA2A27">
        <w:rPr>
          <w:rFonts w:ascii="Arial" w:hAnsi="Arial" w:hint="cs"/>
          <w:noProof w:val="0"/>
          <w:rtl/>
        </w:rPr>
        <w:t>[...]</w:t>
      </w:r>
      <w:r>
        <w:rPr>
          <w:rFonts w:ascii="Arial" w:hAnsi="Arial"/>
          <w:noProof w:val="0"/>
          <w:rtl/>
        </w:rPr>
        <w:t xml:space="preserve"> נתן צו ירושה בנוגע לעזבון המנוח וכן אישר את הסכם חלוקת הירושה שנערך ואושר ע"י עו"ד. נטען כי הן התובעת והן הנתבעת הסמיכו את ביה"ד ליתן את צו הירושה ולאשר את הסכם חלוקת ירושת המנוח. עוד נטען כי ביה"ד הדרוזי "דן והכריע כבר בעניין" ועל כן אין לבימ"ש זה סמכות עניינית לדון בתביעה. </w:t>
      </w:r>
      <w:r>
        <w:rPr>
          <w:rFonts w:ascii="Arial" w:hAnsi="Arial"/>
          <w:b/>
          <w:bCs/>
          <w:noProof w:val="0"/>
          <w:rtl/>
        </w:rPr>
        <w:t>שנית,</w:t>
      </w:r>
      <w:r>
        <w:rPr>
          <w:rFonts w:ascii="Arial" w:hAnsi="Arial"/>
          <w:noProof w:val="0"/>
          <w:rtl/>
        </w:rPr>
        <w:t xml:space="preserve"> נטען כי מדובר במעשה בית דין ועל כן התובעים מושתקים מלהעלות טענות נגד ההסכם שאושר. </w:t>
      </w:r>
      <w:r>
        <w:rPr>
          <w:rFonts w:ascii="Arial" w:hAnsi="Arial"/>
          <w:b/>
          <w:bCs/>
          <w:noProof w:val="0"/>
          <w:rtl/>
        </w:rPr>
        <w:t>שלישית</w:t>
      </w:r>
      <w:r>
        <w:rPr>
          <w:rFonts w:ascii="Arial" w:hAnsi="Arial"/>
          <w:noProof w:val="0"/>
          <w:rtl/>
        </w:rPr>
        <w:t xml:space="preserve">, נטען כי </w:t>
      </w:r>
      <w:r>
        <w:rPr>
          <w:rFonts w:ascii="Arial" w:hAnsi="Arial"/>
          <w:noProof w:val="0"/>
          <w:rtl/>
        </w:rPr>
        <w:lastRenderedPageBreak/>
        <w:t xml:space="preserve">חזקה על ביה"ד הדרוזי שבחן את מסמכי הבקשה ואת חוקיותם וכי ככל והתובעים סבורים כי נפל פגם בהחלטת ביה"ד הדרוזי, יכלו לעתור לביטול ההחלטה או להגיש ערעור בפני ביה"ד הדרוזי לערעורים. </w:t>
      </w:r>
      <w:r>
        <w:rPr>
          <w:rFonts w:ascii="Arial" w:hAnsi="Arial"/>
          <w:b/>
          <w:bCs/>
          <w:noProof w:val="0"/>
          <w:rtl/>
        </w:rPr>
        <w:t>רביעית</w:t>
      </w:r>
      <w:r>
        <w:rPr>
          <w:rFonts w:ascii="Arial" w:hAnsi="Arial"/>
          <w:noProof w:val="0"/>
          <w:rtl/>
        </w:rPr>
        <w:t xml:space="preserve">, נטען כי התביעה הוגשה בשיהוי ניכר ורק לאחר רישום זכויות הנתבעת על פי ההסכם בטאבו ביום 1.6.21. עוד נטען להעדר ניקיון כפיים וחוסר תום לב, שכן בהמשך להסכם נרשמה </w:t>
      </w:r>
      <w:r>
        <w:rPr>
          <w:rFonts w:ascii="Arial" w:hAnsi="Arial"/>
          <w:b/>
          <w:bCs/>
          <w:noProof w:val="0"/>
          <w:rtl/>
        </w:rPr>
        <w:t>התובעת</w:t>
      </w:r>
      <w:r>
        <w:rPr>
          <w:rFonts w:ascii="Arial" w:hAnsi="Arial"/>
          <w:noProof w:val="0"/>
          <w:rtl/>
        </w:rPr>
        <w:t xml:space="preserve"> כבעלים של חלקה </w:t>
      </w:r>
      <w:r w:rsidR="00BA2A27">
        <w:rPr>
          <w:rFonts w:ascii="Arial" w:hAnsi="Arial" w:hint="cs"/>
          <w:noProof w:val="0"/>
          <w:rtl/>
        </w:rPr>
        <w:t>0</w:t>
      </w:r>
      <w:r>
        <w:rPr>
          <w:rFonts w:ascii="Arial" w:hAnsi="Arial"/>
          <w:noProof w:val="0"/>
          <w:rtl/>
        </w:rPr>
        <w:t xml:space="preserve"> בגוש </w:t>
      </w:r>
      <w:r w:rsidR="00BA2A27">
        <w:rPr>
          <w:rFonts w:ascii="Arial" w:hAnsi="Arial" w:hint="cs"/>
          <w:noProof w:val="0"/>
          <w:rtl/>
        </w:rPr>
        <w:t>00000</w:t>
      </w:r>
      <w:r>
        <w:rPr>
          <w:rFonts w:ascii="Arial" w:hAnsi="Arial"/>
          <w:noProof w:val="0"/>
          <w:rtl/>
        </w:rPr>
        <w:t xml:space="preserve"> ע"פ ההסכם. כמו כן נטען כי הנתבעת הופלתה לרעה. כן נטענו טענות לגוף התביעה. </w:t>
      </w:r>
    </w:p>
    <w:p w:rsidR="00221F25" w:rsidRPr="00221F25" w:rsidRDefault="00221F25" w:rsidP="00221F25">
      <w:pPr>
        <w:pStyle w:val="ad"/>
        <w:rPr>
          <w:rFonts w:ascii="Arial" w:hAnsi="Arial"/>
          <w:noProof w:val="0"/>
          <w:rtl/>
        </w:rPr>
      </w:pPr>
    </w:p>
    <w:p w:rsidR="00221F25" w:rsidRDefault="00221F25" w:rsidP="00221F25">
      <w:pPr>
        <w:pStyle w:val="ad"/>
        <w:numPr>
          <w:ilvl w:val="0"/>
          <w:numId w:val="2"/>
        </w:numPr>
        <w:spacing w:line="360" w:lineRule="auto"/>
        <w:ind w:left="0"/>
        <w:jc w:val="both"/>
        <w:rPr>
          <w:rFonts w:ascii="Arial" w:hAnsi="Arial"/>
          <w:noProof w:val="0"/>
          <w:rtl/>
        </w:rPr>
      </w:pPr>
      <w:r>
        <w:rPr>
          <w:rFonts w:ascii="Arial" w:hAnsi="Arial"/>
          <w:noProof w:val="0"/>
          <w:rtl/>
        </w:rPr>
        <w:t>בהמשך הוגש כתב תשובה, במסגרתו נטען לראשונה כי יש למנות מומחה מאחר והתובעת סבורה כי "</w:t>
      </w:r>
      <w:r>
        <w:rPr>
          <w:rFonts w:ascii="Arial" w:hAnsi="Arial"/>
          <w:b/>
          <w:bCs/>
          <w:noProof w:val="0"/>
          <w:rtl/>
        </w:rPr>
        <w:t>הנתבעת זייפה את חתימתה בא</w:t>
      </w:r>
      <w:r w:rsidR="00BA2A27">
        <w:rPr>
          <w:rFonts w:ascii="Arial" w:hAnsi="Arial" w:hint="cs"/>
          <w:b/>
          <w:bCs/>
          <w:noProof w:val="0"/>
          <w:rtl/>
        </w:rPr>
        <w:t>ח</w:t>
      </w:r>
      <w:r>
        <w:rPr>
          <w:rFonts w:ascii="Arial" w:hAnsi="Arial"/>
          <w:b/>
          <w:bCs/>
          <w:noProof w:val="0"/>
          <w:rtl/>
        </w:rPr>
        <w:t>ד מן המסמכים שצורפו לבית הדין</w:t>
      </w:r>
      <w:r>
        <w:rPr>
          <w:rFonts w:ascii="Arial" w:hAnsi="Arial"/>
          <w:noProof w:val="0"/>
          <w:rtl/>
        </w:rPr>
        <w:t>" (ס' 28 לכתב התשובה). עוד נטען, בין היתר, כי התובעת לא נכחה בביה"ד הדרוזי ולא אישרה את ההסכם. במסגרת כתב התגובה לתשובה נטען כי מדובר בהרחבת חזית וכן נטענו טענות נוספות.</w:t>
      </w:r>
    </w:p>
    <w:p w:rsidR="00221F25" w:rsidRDefault="00221F25" w:rsidP="00221F25">
      <w:pPr>
        <w:pStyle w:val="ad"/>
        <w:rPr>
          <w:rFonts w:ascii="Arial" w:hAnsi="Arial"/>
          <w:noProof w:val="0"/>
        </w:rPr>
      </w:pPr>
    </w:p>
    <w:p w:rsidR="00221F25" w:rsidRDefault="00221F25" w:rsidP="00221F25">
      <w:pPr>
        <w:pStyle w:val="ad"/>
        <w:numPr>
          <w:ilvl w:val="0"/>
          <w:numId w:val="2"/>
        </w:numPr>
        <w:spacing w:line="360" w:lineRule="auto"/>
        <w:ind w:left="0"/>
        <w:jc w:val="both"/>
        <w:rPr>
          <w:rFonts w:ascii="Arial" w:hAnsi="Arial"/>
          <w:noProof w:val="0"/>
          <w:rtl/>
        </w:rPr>
      </w:pPr>
      <w:r>
        <w:rPr>
          <w:rFonts w:ascii="Arial" w:hAnsi="Arial"/>
          <w:noProof w:val="0"/>
          <w:rtl/>
        </w:rPr>
        <w:t>ביום 5.1.23 התקיים דיון פרונטאלי, במסגרתו חזרו הצדדים על טענותיהם. לשאלת ביהמ"ש השיבה ב"כ התובעת כי סמכותו של בימ"ש זה לדון בתביעה נובעת מכך שלא התקיים דיון פרונטאלי בביה"ד הדרוזי וכי ביה"ד הדרוזי לא דן מהותית בהליך ומדובר היה באישור "טכני" בלבד. ב"כ הנתבעת טען כי לביה"ד הדרוזי סמכות מקבילה לדון וליתן צו ירושה וכן לאשר הסכם בין היורשים ומכוח זאת קנה ביה"ד גם סמכות להמשיך ולדון בטענות הנוגעות לביטול ההסכם, גם אם אישור ההסכם ומתן צו הירושה לא נעשו במסגרת דיון פרונטאלי במעמד הצדדים. כן נטען כי בהמשך להסכם העבירו שני הצדדים את הבעלות במקרקעין על שמן בהתאם להסכם ומשכך</w:t>
      </w:r>
      <w:r>
        <w:rPr>
          <w:rFonts w:ascii="Arial" w:hAnsi="Arial"/>
          <w:strike/>
          <w:noProof w:val="0"/>
          <w:rtl/>
        </w:rPr>
        <w:t xml:space="preserve"> </w:t>
      </w:r>
      <w:r>
        <w:rPr>
          <w:rFonts w:ascii="Arial" w:hAnsi="Arial"/>
          <w:noProof w:val="0"/>
          <w:rtl/>
        </w:rPr>
        <w:t>מנועה התובעת מלטעון טענות בעניין זה. הנתבעת שבה ועתרה כי התביעה תסולק על הסף מחמת היעדר סמכות עניינית ושימוש לרעה בהליכי משפט.</w:t>
      </w:r>
    </w:p>
    <w:p w:rsidR="00221F25" w:rsidRDefault="00221F25" w:rsidP="00221F25">
      <w:pPr>
        <w:spacing w:line="360" w:lineRule="auto"/>
        <w:jc w:val="both"/>
        <w:rPr>
          <w:rFonts w:ascii="Arial" w:hAnsi="Arial"/>
          <w:noProof w:val="0"/>
          <w:rtl/>
        </w:rPr>
      </w:pPr>
    </w:p>
    <w:p w:rsidR="00221F25" w:rsidRDefault="00221F25" w:rsidP="00221F25">
      <w:pPr>
        <w:spacing w:line="360" w:lineRule="auto"/>
        <w:jc w:val="both"/>
        <w:rPr>
          <w:rFonts w:ascii="Arial" w:hAnsi="Arial"/>
          <w:b/>
          <w:bCs/>
          <w:noProof w:val="0"/>
          <w:u w:val="single"/>
          <w:rtl/>
        </w:rPr>
      </w:pPr>
      <w:r>
        <w:rPr>
          <w:rFonts w:ascii="Arial" w:hAnsi="Arial"/>
          <w:b/>
          <w:bCs/>
          <w:noProof w:val="0"/>
          <w:u w:val="single"/>
          <w:rtl/>
        </w:rPr>
        <w:t>דיון והכרעה</w:t>
      </w:r>
    </w:p>
    <w:p w:rsidR="00221F25" w:rsidRDefault="00221F25" w:rsidP="00221F25">
      <w:pPr>
        <w:spacing w:line="360" w:lineRule="auto"/>
        <w:jc w:val="both"/>
        <w:rPr>
          <w:rFonts w:ascii="Arial" w:hAnsi="Arial"/>
          <w:b/>
          <w:bCs/>
          <w:noProof w:val="0"/>
          <w:u w:val="single"/>
          <w:rtl/>
        </w:rPr>
      </w:pPr>
    </w:p>
    <w:p w:rsidR="00221F25" w:rsidRDefault="00221F25" w:rsidP="00221F25">
      <w:pPr>
        <w:spacing w:line="360" w:lineRule="auto"/>
        <w:jc w:val="both"/>
        <w:rPr>
          <w:rFonts w:ascii="Arial" w:hAnsi="Arial"/>
          <w:b/>
          <w:bCs/>
          <w:noProof w:val="0"/>
          <w:rtl/>
        </w:rPr>
      </w:pPr>
      <w:r>
        <w:rPr>
          <w:rFonts w:ascii="Arial" w:hAnsi="Arial"/>
          <w:b/>
          <w:bCs/>
          <w:noProof w:val="0"/>
          <w:rtl/>
        </w:rPr>
        <w:t xml:space="preserve">לאחר שבחנתי את טענות הצדדים, שוכנעתי כי הדין עם הנתבעת. להלן נימוקיי. </w:t>
      </w:r>
    </w:p>
    <w:p w:rsidR="00221F25" w:rsidRDefault="00221F25" w:rsidP="00221F25">
      <w:pPr>
        <w:spacing w:line="360" w:lineRule="auto"/>
        <w:jc w:val="both"/>
        <w:rPr>
          <w:rFonts w:ascii="Arial" w:hAnsi="Arial"/>
          <w:b/>
          <w:bCs/>
          <w:noProof w:val="0"/>
          <w:rtl/>
        </w:rPr>
      </w:pPr>
    </w:p>
    <w:p w:rsidR="00221F25" w:rsidRDefault="00221F25" w:rsidP="00221F25">
      <w:pPr>
        <w:pStyle w:val="ad"/>
        <w:numPr>
          <w:ilvl w:val="0"/>
          <w:numId w:val="2"/>
        </w:numPr>
        <w:spacing w:line="360" w:lineRule="auto"/>
        <w:ind w:left="0"/>
        <w:jc w:val="both"/>
        <w:rPr>
          <w:rFonts w:ascii="Arial" w:hAnsi="Arial"/>
          <w:noProof w:val="0"/>
          <w:rtl/>
        </w:rPr>
      </w:pPr>
      <w:r>
        <w:rPr>
          <w:rFonts w:ascii="Arial" w:hAnsi="Arial"/>
          <w:noProof w:val="0"/>
          <w:rtl/>
        </w:rPr>
        <w:t xml:space="preserve">המחלוקת שבפניי עניינה מי היא הערכאה המוסמכת לדון ולברר תביעה לביטול הסכם שקיבל תוקף של החלטה בבית הדין הדרוזי, כאשר עילות הביטול נוגעות בעיקרן לפגמים ברצון התובעת. עיון בפסיקת ביהמ"ש העליון מלמד כי הסוגיה שבפנינו </w:t>
      </w:r>
      <w:r w:rsidR="00BA2A27">
        <w:rPr>
          <w:rFonts w:ascii="Arial" w:hAnsi="Arial"/>
          <w:noProof w:val="0"/>
          <w:rtl/>
        </w:rPr>
        <w:t>כבר נדונה והוכרעה בפסיקת בתי</w:t>
      </w:r>
      <w:r w:rsidR="00BA2A27">
        <w:rPr>
          <w:rFonts w:ascii="Arial" w:hAnsi="Arial" w:hint="cs"/>
          <w:noProof w:val="0"/>
          <w:rtl/>
        </w:rPr>
        <w:t xml:space="preserve"> המשפט</w:t>
      </w:r>
      <w:r>
        <w:rPr>
          <w:rFonts w:ascii="Arial" w:hAnsi="Arial"/>
          <w:noProof w:val="0"/>
          <w:rtl/>
        </w:rPr>
        <w:t xml:space="preserve"> לרבות בביהמ"ש העליון, כמפורט להלן. </w:t>
      </w:r>
    </w:p>
    <w:p w:rsidR="00221F25" w:rsidRDefault="00221F25" w:rsidP="00221F25">
      <w:pPr>
        <w:pStyle w:val="ad"/>
        <w:spacing w:line="360" w:lineRule="auto"/>
        <w:ind w:left="0"/>
        <w:jc w:val="both"/>
        <w:rPr>
          <w:rFonts w:ascii="Arial" w:hAnsi="Arial"/>
          <w:noProof w:val="0"/>
          <w:rtl/>
        </w:rPr>
      </w:pPr>
    </w:p>
    <w:p w:rsidR="00221F25" w:rsidRDefault="00221F25" w:rsidP="00221F25">
      <w:pPr>
        <w:pStyle w:val="ad"/>
        <w:numPr>
          <w:ilvl w:val="0"/>
          <w:numId w:val="2"/>
        </w:numPr>
        <w:spacing w:line="360" w:lineRule="auto"/>
        <w:ind w:left="0"/>
        <w:jc w:val="both"/>
        <w:rPr>
          <w:rFonts w:ascii="Arial" w:hAnsi="Arial"/>
          <w:noProof w:val="0"/>
          <w:rtl/>
        </w:rPr>
      </w:pPr>
      <w:r>
        <w:rPr>
          <w:rFonts w:ascii="Arial" w:hAnsi="Arial"/>
          <w:noProof w:val="0"/>
          <w:rtl/>
        </w:rPr>
        <w:t xml:space="preserve">כך, בפסק הדין שניתן זה לא מכבר ב-בע"מ 300/22 </w:t>
      </w:r>
      <w:r>
        <w:rPr>
          <w:rFonts w:ascii="Arial" w:hAnsi="Arial"/>
          <w:b/>
          <w:bCs/>
          <w:noProof w:val="0"/>
          <w:rtl/>
        </w:rPr>
        <w:t>פלוני נ' פלונית</w:t>
      </w:r>
      <w:r>
        <w:rPr>
          <w:rFonts w:ascii="Arial" w:hAnsi="Arial"/>
          <w:noProof w:val="0"/>
          <w:rtl/>
        </w:rPr>
        <w:t xml:space="preserve"> (</w:t>
      </w:r>
      <w:r w:rsidR="00BA2A27">
        <w:rPr>
          <w:rFonts w:ascii="Arial" w:hAnsi="Arial" w:hint="cs"/>
          <w:noProof w:val="0"/>
          <w:rtl/>
        </w:rPr>
        <w:t xml:space="preserve">פורסם במאגרים משפטיים, מיום </w:t>
      </w:r>
      <w:r>
        <w:rPr>
          <w:rFonts w:ascii="Arial" w:hAnsi="Arial"/>
          <w:noProof w:val="0"/>
          <w:rtl/>
        </w:rPr>
        <w:t xml:space="preserve">24.2.2022) דן ביהמ"ש העליון (כב' השופט שטיין) בסוגיית הסמכות העניינית לדון בטענות חוזיות לביטול הסכם שאושר בביה"ד דתי. נסיבות המקרה עניינן בהסכם גירושין לו ניתן תוקף של פסק דין על ידי ביה"ד הרבני. לימים הגישה האישה תביעה לביטול ההסכם, כאשר עילות התביעה כללו עושק, </w:t>
      </w:r>
      <w:r>
        <w:rPr>
          <w:rFonts w:ascii="Arial" w:hAnsi="Arial"/>
          <w:noProof w:val="0"/>
          <w:rtl/>
        </w:rPr>
        <w:lastRenderedPageBreak/>
        <w:t xml:space="preserve">הטעיה, כפייה, וחוסר תום לב. האישה טענה כי ההסכם נישל אותה ממרבית הזכויות שנצברו בחיי הנישואין והוא מיטיב עם האיש באופן קיצוני. </w:t>
      </w:r>
    </w:p>
    <w:p w:rsidR="00221F25" w:rsidRDefault="00221F25" w:rsidP="00221F25">
      <w:pPr>
        <w:pStyle w:val="ad"/>
        <w:rPr>
          <w:rFonts w:ascii="Arial" w:hAnsi="Arial"/>
          <w:noProof w:val="0"/>
        </w:rPr>
      </w:pPr>
    </w:p>
    <w:p w:rsidR="00221F25" w:rsidRDefault="00221F25" w:rsidP="00221F25">
      <w:pPr>
        <w:pStyle w:val="ad"/>
        <w:spacing w:line="360" w:lineRule="auto"/>
        <w:ind w:left="0"/>
        <w:jc w:val="both"/>
        <w:rPr>
          <w:rFonts w:ascii="Arial" w:hAnsi="Arial"/>
          <w:noProof w:val="0"/>
          <w:rtl/>
        </w:rPr>
      </w:pPr>
      <w:r>
        <w:rPr>
          <w:rFonts w:ascii="Arial" w:hAnsi="Arial"/>
          <w:noProof w:val="0"/>
          <w:rtl/>
        </w:rPr>
        <w:t xml:space="preserve">ביהמ"ש העליון עמד בפסק דינו על האבחנה לעניין הסמכות בין תביעה לאכיפת הסכם או לפרשנותו לבין תביעה לביטולו. ביהמ"ש חזר על ההלכה ולפיה, כאשר צד להסכם שקיבל תוקף של פסק דין מבקש את ביטולו בשל פגם שנפל בהסכם עצמו, דוגמת טענות חוזיות למיניהן, עליו לעשות זאת באמצעות הגשת תובענה חדשה </w:t>
      </w:r>
      <w:r>
        <w:rPr>
          <w:rFonts w:ascii="Arial" w:hAnsi="Arial"/>
          <w:noProof w:val="0"/>
          <w:u w:val="single"/>
          <w:rtl/>
        </w:rPr>
        <w:t>לערכאה בה ניתן פסק הדין</w:t>
      </w:r>
      <w:r>
        <w:rPr>
          <w:rFonts w:ascii="Arial" w:hAnsi="Arial"/>
          <w:noProof w:val="0"/>
          <w:rtl/>
        </w:rPr>
        <w:t>, ובלשון ביהמ"ש העליון:</w:t>
      </w:r>
    </w:p>
    <w:p w:rsidR="00221F25" w:rsidRDefault="00221F25" w:rsidP="00221F25">
      <w:pPr>
        <w:spacing w:line="360" w:lineRule="auto"/>
        <w:ind w:left="414" w:firstLine="720"/>
        <w:jc w:val="both"/>
        <w:rPr>
          <w:rFonts w:ascii="Arial" w:hAnsi="Arial"/>
          <w:noProof w:val="0"/>
          <w:rtl/>
        </w:rPr>
      </w:pPr>
      <w:r>
        <w:rPr>
          <w:rFonts w:ascii="Arial" w:hAnsi="Arial"/>
          <w:noProof w:val="0"/>
          <w:rtl/>
        </w:rPr>
        <w:t>"</w:t>
      </w:r>
    </w:p>
    <w:p w:rsidR="00221F25" w:rsidRDefault="00221F25" w:rsidP="00221F25">
      <w:pPr>
        <w:pStyle w:val="Ruller4"/>
        <w:tabs>
          <w:tab w:val="clear" w:pos="360"/>
          <w:tab w:val="clear" w:pos="800"/>
          <w:tab w:val="left" w:pos="1559"/>
          <w:tab w:val="num" w:pos="1701"/>
        </w:tabs>
        <w:ind w:left="1134"/>
        <w:rPr>
          <w:rFonts w:ascii="David" w:hAnsi="David" w:cs="David"/>
          <w:b/>
          <w:bCs/>
          <w:color w:val="000000" w:themeColor="text1"/>
          <w:szCs w:val="24"/>
          <w:rtl/>
        </w:rPr>
      </w:pPr>
      <w:r>
        <w:rPr>
          <w:rFonts w:ascii="David" w:hAnsi="David" w:cs="David"/>
          <w:b/>
          <w:bCs/>
          <w:color w:val="000000" w:themeColor="text1"/>
          <w:szCs w:val="24"/>
          <w:rtl/>
        </w:rPr>
        <w:t>הלכה היא עמנו, כי –</w:t>
      </w:r>
    </w:p>
    <w:p w:rsidR="00221F25" w:rsidRDefault="00221F25" w:rsidP="00221F25">
      <w:pPr>
        <w:pStyle w:val="Ruller5"/>
        <w:spacing w:line="360" w:lineRule="auto"/>
        <w:rPr>
          <w:rFonts w:ascii="David" w:hAnsi="David" w:cs="David"/>
          <w:b/>
          <w:bCs/>
          <w:color w:val="000000" w:themeColor="text1"/>
          <w:sz w:val="24"/>
          <w:szCs w:val="24"/>
        </w:rPr>
      </w:pPr>
      <w:r>
        <w:rPr>
          <w:rFonts w:ascii="David" w:hAnsi="David" w:cs="David"/>
          <w:b/>
          <w:bCs/>
          <w:color w:val="000000" w:themeColor="text1"/>
          <w:sz w:val="24"/>
          <w:szCs w:val="24"/>
          <w:rtl/>
        </w:rPr>
        <w:t>"[...] ערכאה שאישרה הסכם ממוני בין בני</w:t>
      </w:r>
      <w:r>
        <w:rPr>
          <w:rFonts w:ascii="David" w:hAnsi="David" w:cs="David"/>
          <w:b/>
          <w:bCs/>
          <w:color w:val="000000" w:themeColor="text1"/>
          <w:position w:val="4"/>
          <w:sz w:val="24"/>
          <w:szCs w:val="24"/>
          <w:rtl/>
        </w:rPr>
        <w:t>-</w:t>
      </w:r>
      <w:r>
        <w:rPr>
          <w:rFonts w:ascii="David" w:hAnsi="David" w:cs="David"/>
          <w:b/>
          <w:bCs/>
          <w:color w:val="000000" w:themeColor="text1"/>
          <w:sz w:val="24"/>
          <w:szCs w:val="24"/>
          <w:rtl/>
        </w:rPr>
        <w:t>זוג כפסק</w:t>
      </w:r>
      <w:r>
        <w:rPr>
          <w:rFonts w:ascii="David" w:hAnsi="David" w:cs="David"/>
          <w:b/>
          <w:bCs/>
          <w:color w:val="000000" w:themeColor="text1"/>
          <w:position w:val="4"/>
          <w:sz w:val="24"/>
          <w:szCs w:val="24"/>
          <w:rtl/>
        </w:rPr>
        <w:t>-</w:t>
      </w:r>
      <w:r>
        <w:rPr>
          <w:rFonts w:ascii="David" w:hAnsi="David" w:cs="David"/>
          <w:b/>
          <w:bCs/>
          <w:color w:val="000000" w:themeColor="text1"/>
          <w:sz w:val="24"/>
          <w:szCs w:val="24"/>
          <w:rtl/>
        </w:rPr>
        <w:t>דין אינה רוכשת סמכות נמשכת בנוגע לפרשנות ההסכם או אכיפתו (</w:t>
      </w:r>
      <w:r>
        <w:rPr>
          <w:rFonts w:ascii="David" w:hAnsi="David" w:cs="David"/>
          <w:b/>
          <w:bCs/>
          <w:color w:val="000000" w:themeColor="text1"/>
          <w:spacing w:val="0"/>
          <w:sz w:val="24"/>
          <w:szCs w:val="24"/>
          <w:u w:val="single"/>
          <w:rtl/>
        </w:rPr>
        <w:t>להבדיל מתביעה</w:t>
      </w:r>
      <w:r>
        <w:rPr>
          <w:rFonts w:ascii="David" w:hAnsi="David" w:cs="David"/>
          <w:b/>
          <w:bCs/>
          <w:color w:val="000000" w:themeColor="text1"/>
          <w:sz w:val="24"/>
          <w:szCs w:val="24"/>
          <w:u w:val="single"/>
          <w:rtl/>
        </w:rPr>
        <w:t xml:space="preserve"> [...] </w:t>
      </w:r>
      <w:r>
        <w:rPr>
          <w:rFonts w:ascii="David" w:hAnsi="David" w:cs="David"/>
          <w:b/>
          <w:bCs/>
          <w:color w:val="000000" w:themeColor="text1"/>
          <w:spacing w:val="0"/>
          <w:sz w:val="24"/>
          <w:szCs w:val="24"/>
          <w:u w:val="single"/>
          <w:rtl/>
        </w:rPr>
        <w:t>לביטול הסכם ממוני שאושר כפסק-דין, אשר ככלל תוגש לערכאה שאישרה את ההסכם</w:t>
      </w:r>
      <w:r>
        <w:rPr>
          <w:rFonts w:ascii="David" w:hAnsi="David" w:cs="David"/>
          <w:b/>
          <w:bCs/>
          <w:color w:val="000000" w:themeColor="text1"/>
          <w:sz w:val="24"/>
          <w:szCs w:val="24"/>
          <w:rtl/>
        </w:rPr>
        <w:t xml:space="preserve">)."... </w:t>
      </w:r>
    </w:p>
    <w:p w:rsidR="00221F25" w:rsidRDefault="00221F25" w:rsidP="00221F25">
      <w:pPr>
        <w:pStyle w:val="Ruller41"/>
        <w:ind w:left="708"/>
        <w:rPr>
          <w:rFonts w:ascii="David" w:hAnsi="David" w:cs="David"/>
          <w:b/>
          <w:bCs/>
          <w:color w:val="000000" w:themeColor="text1"/>
          <w:sz w:val="24"/>
          <w:szCs w:val="24"/>
          <w:rtl/>
        </w:rPr>
      </w:pPr>
      <w:r>
        <w:rPr>
          <w:rFonts w:ascii="David" w:hAnsi="David" w:cs="David"/>
          <w:b/>
          <w:bCs/>
          <w:color w:val="000000" w:themeColor="text1"/>
          <w:sz w:val="24"/>
          <w:szCs w:val="24"/>
          <w:rtl/>
        </w:rPr>
        <w:tab/>
        <w:t xml:space="preserve">    וכן:</w:t>
      </w:r>
    </w:p>
    <w:p w:rsidR="00221F25" w:rsidRDefault="00221F25" w:rsidP="00221F25">
      <w:pPr>
        <w:pStyle w:val="Ruller5"/>
        <w:spacing w:line="360" w:lineRule="auto"/>
        <w:rPr>
          <w:rFonts w:ascii="David" w:hAnsi="David" w:cs="David"/>
          <w:b/>
          <w:bCs/>
          <w:color w:val="000000" w:themeColor="text1"/>
          <w:sz w:val="24"/>
          <w:szCs w:val="24"/>
        </w:rPr>
      </w:pPr>
      <w:r>
        <w:rPr>
          <w:rFonts w:ascii="David" w:hAnsi="David" w:cs="David"/>
          <w:b/>
          <w:bCs/>
          <w:color w:val="000000" w:themeColor="text1"/>
          <w:sz w:val="24"/>
          <w:szCs w:val="24"/>
          <w:rtl/>
        </w:rPr>
        <w:t xml:space="preserve">"[...] תביעה לביטולו של הסכם בין בני זוג, אשר אושר על ידי ערכאה שיפוטית וניתן לו תוקף של פסק דין, </w:t>
      </w:r>
      <w:r>
        <w:rPr>
          <w:rFonts w:ascii="David" w:hAnsi="David" w:cs="David"/>
          <w:b/>
          <w:bCs/>
          <w:color w:val="000000" w:themeColor="text1"/>
          <w:sz w:val="24"/>
          <w:szCs w:val="24"/>
          <w:u w:val="single"/>
          <w:rtl/>
        </w:rPr>
        <w:t>תוגש לאותה ערכאה אשר אישרה את ההסכם</w:t>
      </w:r>
      <w:r>
        <w:rPr>
          <w:rFonts w:ascii="David" w:hAnsi="David" w:cs="David"/>
          <w:b/>
          <w:bCs/>
          <w:color w:val="000000" w:themeColor="text1"/>
          <w:sz w:val="24"/>
          <w:szCs w:val="24"/>
          <w:rtl/>
        </w:rPr>
        <w:t>... זהו אף הדין באשר לתביעה לתיקון או לשינוי של הסכם מסוג זה...</w:t>
      </w:r>
    </w:p>
    <w:p w:rsidR="00221F25" w:rsidRDefault="00221F25" w:rsidP="00221F25">
      <w:pPr>
        <w:pStyle w:val="Ruller5"/>
        <w:spacing w:line="360" w:lineRule="auto"/>
        <w:rPr>
          <w:rFonts w:ascii="David" w:hAnsi="David" w:cs="David"/>
          <w:b/>
          <w:bCs/>
          <w:color w:val="000000" w:themeColor="text1"/>
          <w:sz w:val="24"/>
          <w:szCs w:val="24"/>
          <w:rtl/>
        </w:rPr>
      </w:pPr>
    </w:p>
    <w:p w:rsidR="00221F25" w:rsidRDefault="00221F25" w:rsidP="00221F25">
      <w:pPr>
        <w:pStyle w:val="Ruller5"/>
        <w:spacing w:line="360" w:lineRule="auto"/>
        <w:rPr>
          <w:rFonts w:ascii="David" w:hAnsi="David" w:cs="David"/>
          <w:color w:val="000000" w:themeColor="text1"/>
          <w:sz w:val="24"/>
          <w:szCs w:val="24"/>
          <w:rtl/>
        </w:rPr>
      </w:pPr>
      <w:r>
        <w:rPr>
          <w:rFonts w:ascii="David" w:hAnsi="David" w:cs="David"/>
          <w:b/>
          <w:bCs/>
          <w:color w:val="000000" w:themeColor="text1"/>
          <w:sz w:val="24"/>
          <w:szCs w:val="24"/>
          <w:rtl/>
        </w:rPr>
        <w:t>שונים הם פני הדברים בנוגע לתביעה שעניינה פרשנות הסכם או אכיפתו, שכן הערכאה המאשרת את ההסכם איננה רוכשת סמכות נמשכת לדון בתביעה מסוג זה...</w:t>
      </w:r>
      <w:r>
        <w:rPr>
          <w:rFonts w:ascii="David" w:hAnsi="David" w:cs="David"/>
          <w:color w:val="000000" w:themeColor="text1"/>
          <w:sz w:val="24"/>
          <w:szCs w:val="24"/>
          <w:rtl/>
        </w:rPr>
        <w:t>".</w:t>
      </w:r>
    </w:p>
    <w:p w:rsidR="00221F25" w:rsidRDefault="00221F25" w:rsidP="00221F25">
      <w:pPr>
        <w:pStyle w:val="Ruller41"/>
        <w:rPr>
          <w:rFonts w:ascii="David" w:hAnsi="David" w:cs="David"/>
          <w:b/>
          <w:bCs/>
          <w:color w:val="000000" w:themeColor="text1"/>
          <w:sz w:val="24"/>
          <w:szCs w:val="24"/>
          <w:rtl/>
        </w:rPr>
      </w:pPr>
    </w:p>
    <w:p w:rsidR="00221F25" w:rsidRDefault="00221F25" w:rsidP="00221F25">
      <w:pPr>
        <w:pStyle w:val="ad"/>
        <w:numPr>
          <w:ilvl w:val="0"/>
          <w:numId w:val="2"/>
        </w:numPr>
        <w:spacing w:line="360" w:lineRule="auto"/>
        <w:ind w:left="0"/>
        <w:jc w:val="both"/>
        <w:rPr>
          <w:rFonts w:ascii="Arial" w:hAnsi="Arial"/>
          <w:noProof w:val="0"/>
          <w:rtl/>
        </w:rPr>
      </w:pPr>
      <w:r>
        <w:rPr>
          <w:rFonts w:ascii="Arial" w:hAnsi="Arial"/>
          <w:noProof w:val="0"/>
          <w:rtl/>
        </w:rPr>
        <w:t>באותו מקרה (בע"מ 300/22</w:t>
      </w:r>
      <w:r w:rsidR="00BA2A27">
        <w:rPr>
          <w:rFonts w:ascii="Arial" w:hAnsi="Arial" w:hint="cs"/>
          <w:noProof w:val="0"/>
          <w:rtl/>
        </w:rPr>
        <w:t xml:space="preserve"> לעיל</w:t>
      </w:r>
      <w:r>
        <w:rPr>
          <w:rFonts w:ascii="Arial" w:hAnsi="Arial"/>
          <w:noProof w:val="0"/>
          <w:rtl/>
        </w:rPr>
        <w:t xml:space="preserve">) דובר אמנם בהסכם ממוני בין בני זוג, אך מפסיקת ביהמ"ש העליון עולה כי הדברים נכונים ביחס </w:t>
      </w:r>
      <w:r>
        <w:rPr>
          <w:rFonts w:ascii="Arial" w:hAnsi="Arial"/>
          <w:noProof w:val="0"/>
          <w:u w:val="single"/>
          <w:rtl/>
        </w:rPr>
        <w:t>לכל הסכם</w:t>
      </w:r>
      <w:r>
        <w:rPr>
          <w:rFonts w:ascii="Arial" w:hAnsi="Arial"/>
          <w:noProof w:val="0"/>
          <w:rtl/>
        </w:rPr>
        <w:t xml:space="preserve"> שקיבל תוקף של החלטה שיפוטית. כך, ב- בג"ץ 5105/19 </w:t>
      </w:r>
      <w:r>
        <w:rPr>
          <w:rFonts w:ascii="Arial" w:hAnsi="Arial"/>
          <w:b/>
          <w:bCs/>
          <w:noProof w:val="0"/>
          <w:rtl/>
        </w:rPr>
        <w:t>פלונית נ' בית הדין השרעי עכו</w:t>
      </w:r>
      <w:r>
        <w:rPr>
          <w:rFonts w:ascii="Arial" w:hAnsi="Arial"/>
          <w:noProof w:val="0"/>
          <w:rtl/>
        </w:rPr>
        <w:t xml:space="preserve"> (</w:t>
      </w:r>
      <w:r w:rsidR="00BA2A27">
        <w:rPr>
          <w:rFonts w:ascii="Arial" w:hAnsi="Arial" w:hint="cs"/>
          <w:noProof w:val="0"/>
          <w:rtl/>
        </w:rPr>
        <w:t xml:space="preserve">פורסם במאגרי מידע, מיום </w:t>
      </w:r>
      <w:r>
        <w:rPr>
          <w:rFonts w:ascii="Arial" w:hAnsi="Arial"/>
          <w:noProof w:val="0"/>
          <w:rtl/>
        </w:rPr>
        <w:t>19.4.21), קבע ביהמ"ש העליון מפי הש' הנדל את הקביעה הבאה היפה לענייננו (ההדגשות אינן במקור):</w:t>
      </w:r>
    </w:p>
    <w:p w:rsidR="00221F25" w:rsidRDefault="00221F25" w:rsidP="00221F25">
      <w:pPr>
        <w:pStyle w:val="Ruller41"/>
        <w:rPr>
          <w:rFonts w:ascii="David" w:hAnsi="David" w:cs="David"/>
          <w:b/>
          <w:bCs/>
          <w:color w:val="000000" w:themeColor="text1"/>
          <w:sz w:val="24"/>
          <w:szCs w:val="24"/>
          <w:rtl/>
        </w:rPr>
      </w:pPr>
    </w:p>
    <w:p w:rsidR="00221F25" w:rsidRDefault="00221F25" w:rsidP="00221F25">
      <w:pPr>
        <w:pStyle w:val="Ruller5"/>
        <w:spacing w:line="360" w:lineRule="auto"/>
        <w:rPr>
          <w:rFonts w:ascii="David" w:hAnsi="David" w:cs="David"/>
          <w:b/>
          <w:bCs/>
          <w:color w:val="000000" w:themeColor="text1"/>
          <w:sz w:val="24"/>
          <w:szCs w:val="24"/>
          <w:rtl/>
        </w:rPr>
      </w:pPr>
      <w:r>
        <w:rPr>
          <w:rFonts w:ascii="David" w:hAnsi="David" w:cs="David"/>
          <w:b/>
          <w:bCs/>
          <w:color w:val="000000" w:themeColor="text1"/>
          <w:sz w:val="24"/>
          <w:szCs w:val="24"/>
          <w:rtl/>
        </w:rPr>
        <w:t xml:space="preserve">"[...] </w:t>
      </w:r>
      <w:r>
        <w:rPr>
          <w:rFonts w:ascii="David" w:hAnsi="David" w:cs="David"/>
          <w:b/>
          <w:bCs/>
          <w:color w:val="000000" w:themeColor="text1"/>
          <w:sz w:val="24"/>
          <w:szCs w:val="24"/>
          <w:u w:val="single"/>
          <w:rtl/>
        </w:rPr>
        <w:t xml:space="preserve">כאשר צד להסכם שקיבל תוקף של פסק דין מבקש את ביטולו בשל פגם שנפל בהסכם עצמו – דוגמת עושק, כפייה או הטעיה – </w:t>
      </w:r>
      <w:r>
        <w:rPr>
          <w:rFonts w:ascii="David" w:hAnsi="David" w:cs="David"/>
          <w:b/>
          <w:bCs/>
          <w:color w:val="000000" w:themeColor="text1"/>
          <w:spacing w:val="0"/>
          <w:sz w:val="24"/>
          <w:szCs w:val="24"/>
          <w:u w:val="single"/>
          <w:rtl/>
        </w:rPr>
        <w:t>עליו לעשות זאת באמצעות הגשת תובענה חדשה לערכאה בה ניתן פסק הדין</w:t>
      </w:r>
      <w:r>
        <w:rPr>
          <w:rFonts w:ascii="David" w:hAnsi="David" w:cs="David"/>
          <w:b/>
          <w:bCs/>
          <w:color w:val="000000" w:themeColor="text1"/>
          <w:sz w:val="24"/>
          <w:szCs w:val="24"/>
          <w:rtl/>
        </w:rPr>
        <w:t>, ולא באמצעות מסלול הערעור הרגיל, הרלוונטי רק לפגמים שנפלו בהליכי המשפט, לרבות בסדרי הדין. [...] ...".</w:t>
      </w:r>
    </w:p>
    <w:p w:rsidR="00221F25" w:rsidRDefault="00221F25" w:rsidP="00221F25">
      <w:pPr>
        <w:spacing w:line="360" w:lineRule="auto"/>
        <w:jc w:val="both"/>
        <w:rPr>
          <w:rFonts w:ascii="David" w:hAnsi="David"/>
          <w:b/>
          <w:bCs/>
          <w:u w:val="single"/>
          <w:rtl/>
        </w:rPr>
      </w:pPr>
    </w:p>
    <w:p w:rsidR="00221F25" w:rsidRDefault="00221F25" w:rsidP="00221F25">
      <w:pPr>
        <w:pStyle w:val="ad"/>
        <w:numPr>
          <w:ilvl w:val="0"/>
          <w:numId w:val="2"/>
        </w:numPr>
        <w:spacing w:line="360" w:lineRule="auto"/>
        <w:ind w:left="0"/>
        <w:jc w:val="both"/>
        <w:rPr>
          <w:rFonts w:ascii="David" w:hAnsi="David"/>
          <w:rtl/>
        </w:rPr>
      </w:pPr>
      <w:r>
        <w:rPr>
          <w:rFonts w:ascii="David" w:hAnsi="David"/>
          <w:rtl/>
        </w:rPr>
        <w:lastRenderedPageBreak/>
        <w:t xml:space="preserve">ב-רמ"ש (חי') 1159-03-17‏  </w:t>
      </w:r>
      <w:r>
        <w:rPr>
          <w:rFonts w:ascii="David" w:hAnsi="David"/>
          <w:b/>
          <w:bCs/>
          <w:rtl/>
        </w:rPr>
        <w:t>ע.א.מ נ' פ.מ</w:t>
      </w:r>
      <w:r>
        <w:rPr>
          <w:rFonts w:ascii="David" w:hAnsi="David"/>
          <w:rtl/>
        </w:rPr>
        <w:t xml:space="preserve"> (29.6.17) עמד כבוד הש' ס. ג'יוסי על כך ששאלת הסמכות נגזרת מאופן ניסוח כתב התביעה ובחינת מהות ולשון הטענות שפורטו בה:</w:t>
      </w:r>
    </w:p>
    <w:p w:rsidR="00221F25" w:rsidRDefault="00221F25" w:rsidP="00221F25">
      <w:pPr>
        <w:pStyle w:val="ad"/>
        <w:spacing w:line="360" w:lineRule="auto"/>
        <w:ind w:left="0"/>
        <w:jc w:val="both"/>
        <w:rPr>
          <w:rFonts w:ascii="David" w:hAnsi="David"/>
        </w:rPr>
      </w:pPr>
    </w:p>
    <w:p w:rsidR="00221F25" w:rsidRDefault="00221F25" w:rsidP="00221F25">
      <w:pPr>
        <w:spacing w:line="360" w:lineRule="auto"/>
        <w:ind w:left="1701" w:right="1276"/>
        <w:contextualSpacing/>
        <w:jc w:val="both"/>
        <w:rPr>
          <w:rFonts w:ascii="Arial" w:hAnsi="Arial"/>
          <w:b/>
          <w:bCs/>
          <w:noProof w:val="0"/>
          <w:color w:val="000000" w:themeColor="text1"/>
          <w:rtl/>
        </w:rPr>
      </w:pPr>
      <w:r>
        <w:rPr>
          <w:rFonts w:ascii="David" w:hAnsi="David"/>
          <w:noProof w:val="0"/>
          <w:color w:val="000000" w:themeColor="text1"/>
          <w:spacing w:val="10"/>
          <w:rtl/>
        </w:rPr>
        <w:t>"</w:t>
      </w:r>
      <w:r>
        <w:rPr>
          <w:rFonts w:ascii="David" w:hAnsi="David"/>
          <w:b/>
          <w:bCs/>
          <w:noProof w:val="0"/>
          <w:color w:val="000000" w:themeColor="text1"/>
          <w:spacing w:val="10"/>
          <w:rtl/>
        </w:rPr>
        <w:t>שאלת הסמכות לדון בענייני הרכוש של בני-הזוג במקרה דנן, האם זו נתונה לבית המשפט לענייני משפחה או לבית הדין השרעי, תוכרע על פי ניסוח טענות המשיבה בכתב התביעה, הן על דרך בחינה לשונית והן על דרך בחינה מהותית – האם המשיבה ביססה טענותיה על פגמים בכריתת ההסכם ופגמים בדרך אישור ההסכם, שאז הסמכות נתונה לערכאה המאשרת את הסכם הגירושין או שמא ביססה המשיבה את טענותיה על פרשנות ההסכם ואכיפתו, שאז הערכאה המאשרת את הסכם הגירושין אינה רוכשת סמכות נמשכת לדון בתביעה לפרשנות</w:t>
      </w:r>
      <w:r>
        <w:rPr>
          <w:rFonts w:ascii="Arial" w:hAnsi="Arial"/>
          <w:noProof w:val="0"/>
          <w:rtl/>
        </w:rPr>
        <w:t xml:space="preserve"> </w:t>
      </w:r>
      <w:r>
        <w:rPr>
          <w:rFonts w:ascii="Arial" w:hAnsi="Arial"/>
          <w:b/>
          <w:bCs/>
          <w:noProof w:val="0"/>
          <w:rtl/>
        </w:rPr>
        <w:t>הסכם</w:t>
      </w:r>
      <w:r>
        <w:rPr>
          <w:rFonts w:ascii="Arial" w:hAnsi="Arial"/>
          <w:noProof w:val="0"/>
          <w:rtl/>
        </w:rPr>
        <w:t xml:space="preserve"> </w:t>
      </w:r>
      <w:r>
        <w:rPr>
          <w:rFonts w:ascii="Arial" w:hAnsi="Arial"/>
          <w:b/>
          <w:bCs/>
          <w:noProof w:val="0"/>
          <w:color w:val="000000" w:themeColor="text1"/>
          <w:rtl/>
        </w:rPr>
        <w:t>(</w:t>
      </w:r>
      <w:hyperlink r:id="rId8" w:history="1">
        <w:r>
          <w:rPr>
            <w:rStyle w:val="Hyperlink"/>
            <w:rFonts w:ascii="Arial" w:hAnsi="Arial"/>
            <w:b/>
            <w:bCs/>
            <w:noProof w:val="0"/>
            <w:color w:val="000000" w:themeColor="text1"/>
            <w:rtl/>
          </w:rPr>
          <w:t>בג"ץ 1607/11</w:t>
        </w:r>
      </w:hyperlink>
      <w:r>
        <w:rPr>
          <w:rFonts w:ascii="Arial" w:hAnsi="Arial"/>
          <w:b/>
          <w:bCs/>
          <w:noProof w:val="0"/>
          <w:color w:val="000000" w:themeColor="text1"/>
          <w:rtl/>
        </w:rPr>
        <w:t xml:space="preserve"> פלונית נ' בית הדין הרבני הגדול לערעורים </w:t>
      </w:r>
      <w:r>
        <w:rPr>
          <w:b/>
          <w:bCs/>
          <w:noProof w:val="0"/>
          <w:color w:val="000000" w:themeColor="text1"/>
          <w:sz w:val="22"/>
          <w:rtl/>
        </w:rPr>
        <w:t xml:space="preserve">[פורסם בנבו] </w:t>
      </w:r>
      <w:r>
        <w:rPr>
          <w:rFonts w:ascii="Arial" w:hAnsi="Arial"/>
          <w:b/>
          <w:bCs/>
          <w:noProof w:val="0"/>
          <w:color w:val="000000" w:themeColor="text1"/>
          <w:rtl/>
        </w:rPr>
        <w:t xml:space="preserve">(18.4.12) ראה גם </w:t>
      </w:r>
      <w:hyperlink r:id="rId9" w:history="1">
        <w:r>
          <w:rPr>
            <w:rStyle w:val="Hyperlink"/>
            <w:rFonts w:ascii="Arial" w:hAnsi="Arial"/>
            <w:b/>
            <w:bCs/>
            <w:noProof w:val="0"/>
            <w:color w:val="000000" w:themeColor="text1"/>
            <w:rtl/>
          </w:rPr>
          <w:t>בג"ץ 8578/01 חליווה נ' חליווה, פ"ד נו</w:t>
        </w:r>
      </w:hyperlink>
      <w:r>
        <w:rPr>
          <w:rFonts w:ascii="Arial" w:hAnsi="Arial"/>
          <w:b/>
          <w:bCs/>
          <w:noProof w:val="0"/>
          <w:color w:val="000000" w:themeColor="text1"/>
          <w:rtl/>
        </w:rPr>
        <w:t xml:space="preserve"> (5) 634, 641)". </w:t>
      </w:r>
    </w:p>
    <w:p w:rsidR="00221F25" w:rsidRDefault="00221F25" w:rsidP="00221F25">
      <w:pPr>
        <w:pStyle w:val="ad"/>
        <w:spacing w:line="360" w:lineRule="auto"/>
        <w:ind w:left="0"/>
        <w:jc w:val="both"/>
        <w:rPr>
          <w:rFonts w:ascii="David" w:hAnsi="David"/>
        </w:rPr>
      </w:pPr>
    </w:p>
    <w:p w:rsidR="00221F25" w:rsidRDefault="00221F25" w:rsidP="00BA2A27">
      <w:pPr>
        <w:pStyle w:val="ad"/>
        <w:numPr>
          <w:ilvl w:val="0"/>
          <w:numId w:val="2"/>
        </w:numPr>
        <w:spacing w:line="360" w:lineRule="auto"/>
        <w:ind w:left="0"/>
        <w:jc w:val="both"/>
        <w:rPr>
          <w:rFonts w:ascii="David" w:hAnsi="David"/>
          <w:rtl/>
        </w:rPr>
      </w:pPr>
      <w:r>
        <w:rPr>
          <w:rFonts w:ascii="David" w:hAnsi="David"/>
          <w:rtl/>
        </w:rPr>
        <w:t>אין חולק כי בענייננו הן לשון הטענות והן מהותן, נוגעות לפגמים ברצון התובעת. לא למותר לציין כי בפסק הדין ב-בע"מ 300/22 אף צוין כי טענות נוספות שנטענו כנימוקים לתביעה, למשל כי ההסכם מנוגד ל"תקנת הציבור" וכן כי נכרת עקב קיום מו"מ ב"חוסר תום לב", הנן טענות שהולבשו ב"לבושים משפטים שונים" (כלשון בי</w:t>
      </w:r>
      <w:r w:rsidR="00BA2A27">
        <w:rPr>
          <w:rFonts w:ascii="David" w:hAnsi="David"/>
          <w:rtl/>
        </w:rPr>
        <w:t>המ"ש העליון בפסק דינו), אשר אינ</w:t>
      </w:r>
      <w:r w:rsidR="00BA2A27">
        <w:rPr>
          <w:rFonts w:ascii="David" w:hAnsi="David" w:hint="cs"/>
          <w:rtl/>
        </w:rPr>
        <w:t>ן</w:t>
      </w:r>
      <w:r>
        <w:rPr>
          <w:rFonts w:ascii="David" w:hAnsi="David"/>
          <w:rtl/>
        </w:rPr>
        <w:t xml:space="preserve"> משנ</w:t>
      </w:r>
      <w:r w:rsidR="00BA2A27">
        <w:rPr>
          <w:rFonts w:ascii="David" w:hAnsi="David" w:hint="cs"/>
          <w:rtl/>
        </w:rPr>
        <w:t>ות</w:t>
      </w:r>
      <w:r>
        <w:rPr>
          <w:rFonts w:ascii="David" w:hAnsi="David"/>
          <w:rtl/>
        </w:rPr>
        <w:t xml:space="preserve"> את העובדה שעילת הביטול נוגעת לטענות חוזיות שעניין פגם ברצון. </w:t>
      </w:r>
    </w:p>
    <w:p w:rsidR="00221F25" w:rsidRDefault="00221F25" w:rsidP="00221F25">
      <w:pPr>
        <w:pStyle w:val="ad"/>
        <w:spacing w:line="360" w:lineRule="auto"/>
        <w:ind w:left="0"/>
        <w:jc w:val="both"/>
        <w:rPr>
          <w:rFonts w:ascii="David" w:hAnsi="David"/>
        </w:rPr>
      </w:pPr>
    </w:p>
    <w:p w:rsidR="00221F25" w:rsidRDefault="00221F25" w:rsidP="00221F25">
      <w:pPr>
        <w:pStyle w:val="ad"/>
        <w:spacing w:line="360" w:lineRule="auto"/>
        <w:ind w:left="0"/>
        <w:jc w:val="both"/>
        <w:rPr>
          <w:rFonts w:ascii="David" w:hAnsi="David"/>
        </w:rPr>
      </w:pPr>
      <w:r>
        <w:rPr>
          <w:rFonts w:ascii="David" w:hAnsi="David"/>
          <w:rtl/>
        </w:rPr>
        <w:t>סבורני כי הדברים יפים אף בענייננו, שכן עיקר טענותיה של התובעת נוגע לחוסר הבנתה וידיעתה את משמעות הוראות ההסכם ומשמעות חתימתה, ועל כן אין בעילות הנוספות שנטענו על ידה (למשל כי ההסכם לא חוקי) כדי לשנות מכך שתביעתה מבוססת על טענות שעניינן פגם ברצון (יצוין כי 23 סעיפים מתוך 31 סעיפים בפרק הדן בטיעון המשפטי, נוגעים לעילות של פגם ברצון, כאשר העילה הנוספת לפ</w:t>
      </w:r>
      <w:r w:rsidR="00BA2A27">
        <w:rPr>
          <w:rFonts w:ascii="David" w:hAnsi="David"/>
          <w:rtl/>
        </w:rPr>
        <w:t>יה "החוזה בלתי חוקי" הועלתה מפי</w:t>
      </w:r>
      <w:r>
        <w:rPr>
          <w:rFonts w:ascii="David" w:hAnsi="David"/>
          <w:rtl/>
        </w:rPr>
        <w:t xml:space="preserve"> אחי המנוח</w:t>
      </w:r>
      <w:r w:rsidR="00BA2A27">
        <w:rPr>
          <w:rFonts w:ascii="David" w:hAnsi="David" w:hint="cs"/>
          <w:rtl/>
        </w:rPr>
        <w:t>,</w:t>
      </w:r>
      <w:r>
        <w:rPr>
          <w:rFonts w:ascii="David" w:hAnsi="David"/>
          <w:rtl/>
        </w:rPr>
        <w:t xml:space="preserve"> אשר על פי הנטען לא ידעו על ההליך, אלא שכאמור האחים חזרו בהם מטענתם למעמדם כיורשים).</w:t>
      </w:r>
    </w:p>
    <w:p w:rsidR="00221F25" w:rsidRDefault="00221F25" w:rsidP="00221F25">
      <w:pPr>
        <w:pStyle w:val="ad"/>
        <w:spacing w:line="360" w:lineRule="auto"/>
        <w:ind w:left="0"/>
        <w:jc w:val="both"/>
        <w:rPr>
          <w:rFonts w:ascii="David" w:hAnsi="David"/>
        </w:rPr>
      </w:pPr>
    </w:p>
    <w:p w:rsidR="00221F25" w:rsidRDefault="00221F25" w:rsidP="00221F25">
      <w:pPr>
        <w:pStyle w:val="ad"/>
        <w:numPr>
          <w:ilvl w:val="0"/>
          <w:numId w:val="2"/>
        </w:numPr>
        <w:spacing w:line="360" w:lineRule="auto"/>
        <w:ind w:left="0"/>
        <w:jc w:val="both"/>
        <w:rPr>
          <w:rFonts w:ascii="David" w:hAnsi="David"/>
        </w:rPr>
      </w:pPr>
      <w:r>
        <w:rPr>
          <w:rFonts w:ascii="David" w:hAnsi="David"/>
          <w:rtl/>
        </w:rPr>
        <w:t xml:space="preserve">בבע"מ 300/22 </w:t>
      </w:r>
      <w:r w:rsidR="00BA2A27">
        <w:rPr>
          <w:rFonts w:ascii="David" w:hAnsi="David" w:hint="cs"/>
          <w:rtl/>
        </w:rPr>
        <w:t xml:space="preserve">לעיל </w:t>
      </w:r>
      <w:r>
        <w:rPr>
          <w:rFonts w:ascii="David" w:hAnsi="David"/>
          <w:rtl/>
        </w:rPr>
        <w:t xml:space="preserve">נקבע עוד, כי הסמכות לבטל פסק דין של ביה"ד דתי מסורה רק לבג"ץ וגם זאת לאחר מיצוי ההליכים בפני ביה"ד הדתי האזורי וביה"ד הדתי לערעורים (פסקה 13 לפסק הדין). כן הודגש, כי הדברים נכונים ביתר שאת </w:t>
      </w:r>
      <w:r>
        <w:rPr>
          <w:rFonts w:ascii="David" w:hAnsi="David"/>
          <w:b/>
          <w:bCs/>
          <w:rtl/>
        </w:rPr>
        <w:t>כאשר מדובר בפסק דין מחייב של ערכאה דתית, אשר לפי הסכמת הצדדים הפך את ההסכם לבר אכיפה ולבר ביצוע בהוצאה לפועל</w:t>
      </w:r>
      <w:r>
        <w:rPr>
          <w:rFonts w:ascii="David" w:hAnsi="David"/>
          <w:rtl/>
        </w:rPr>
        <w:t xml:space="preserve"> (פסקה 11 סיפא לפסק הדין). </w:t>
      </w:r>
    </w:p>
    <w:p w:rsidR="00221F25" w:rsidRDefault="00221F25" w:rsidP="00221F25">
      <w:pPr>
        <w:pStyle w:val="ad"/>
        <w:spacing w:line="360" w:lineRule="auto"/>
        <w:ind w:left="0"/>
        <w:jc w:val="both"/>
        <w:rPr>
          <w:rFonts w:ascii="David" w:hAnsi="David"/>
        </w:rPr>
      </w:pPr>
    </w:p>
    <w:p w:rsidR="00221F25" w:rsidRDefault="00221F25" w:rsidP="00221F25">
      <w:pPr>
        <w:pStyle w:val="ad"/>
        <w:spacing w:line="360" w:lineRule="auto"/>
        <w:ind w:left="0"/>
        <w:jc w:val="both"/>
        <w:rPr>
          <w:rFonts w:ascii="David" w:hAnsi="David"/>
          <w:rtl/>
        </w:rPr>
      </w:pPr>
      <w:r>
        <w:rPr>
          <w:rFonts w:ascii="David" w:hAnsi="David"/>
          <w:rtl/>
        </w:rPr>
        <w:t>בהיקש לענייננו, הרי שהצדדים עתרו לביה"ד כי י</w:t>
      </w:r>
      <w:r>
        <w:rPr>
          <w:rFonts w:ascii="David" w:hAnsi="David" w:hint="cs"/>
          <w:rtl/>
        </w:rPr>
        <w:t>נ</w:t>
      </w:r>
      <w:r>
        <w:rPr>
          <w:rFonts w:ascii="David" w:hAnsi="David"/>
          <w:rtl/>
        </w:rPr>
        <w:t xml:space="preserve">תן תוקף של החלטה שיפוטית לצו הירושה ולהסכם בין היורשות שנלווה לו ובעקבות אישור הבקשה אף פעלו והעבירו את הרישום על שמן, בהתאם להוראות ההסכם ובכך הוציאו את ההסכם אל הפועל.  </w:t>
      </w:r>
    </w:p>
    <w:p w:rsidR="00221F25" w:rsidRDefault="00221F25" w:rsidP="00221F25">
      <w:pPr>
        <w:pStyle w:val="ad"/>
        <w:spacing w:line="360" w:lineRule="auto"/>
        <w:ind w:left="0"/>
        <w:jc w:val="both"/>
        <w:rPr>
          <w:rFonts w:ascii="David" w:hAnsi="David"/>
        </w:rPr>
      </w:pPr>
    </w:p>
    <w:p w:rsidR="00221F25" w:rsidRDefault="00221F25" w:rsidP="00221F25">
      <w:pPr>
        <w:pStyle w:val="ad"/>
        <w:numPr>
          <w:ilvl w:val="0"/>
          <w:numId w:val="2"/>
        </w:numPr>
        <w:spacing w:line="360" w:lineRule="auto"/>
        <w:ind w:left="0"/>
        <w:jc w:val="both"/>
        <w:rPr>
          <w:rFonts w:ascii="David" w:hAnsi="David"/>
          <w:b/>
          <w:bCs/>
        </w:rPr>
      </w:pPr>
      <w:r>
        <w:rPr>
          <w:rFonts w:ascii="David" w:hAnsi="David"/>
          <w:b/>
          <w:bCs/>
          <w:rtl/>
        </w:rPr>
        <w:t xml:space="preserve">מכלל האמור לעיל עולה ברורות, כי הסמכות לדון בתביעה לביטול הסכם בגין טענות חוזיות הנוגעות לפגמים ברצון, מסורה לערכאה השיפוטית שאישרה את ההסכם ונתנה לו תוקף של החלטה שיפוטית. </w:t>
      </w:r>
    </w:p>
    <w:p w:rsidR="00221F25" w:rsidRDefault="00221F25" w:rsidP="00221F25">
      <w:pPr>
        <w:pStyle w:val="ad"/>
        <w:rPr>
          <w:rFonts w:ascii="David" w:hAnsi="David"/>
          <w:b/>
          <w:bCs/>
        </w:rPr>
      </w:pPr>
    </w:p>
    <w:p w:rsidR="00221F25" w:rsidRDefault="00221F25" w:rsidP="00221F25">
      <w:pPr>
        <w:pStyle w:val="ad"/>
        <w:numPr>
          <w:ilvl w:val="0"/>
          <w:numId w:val="2"/>
        </w:numPr>
        <w:spacing w:line="360" w:lineRule="auto"/>
        <w:ind w:left="0"/>
        <w:jc w:val="both"/>
        <w:rPr>
          <w:rFonts w:ascii="David" w:hAnsi="David"/>
          <w:rtl/>
        </w:rPr>
      </w:pPr>
      <w:r>
        <w:rPr>
          <w:rFonts w:ascii="David" w:hAnsi="David"/>
          <w:rtl/>
        </w:rPr>
        <w:t xml:space="preserve">נשאלת השאלה מה הנפקות של הטענה המאוחרת (שהועלתה לראשונה בכתב התשובה) שנטענה על ידי התובעת ולפיה אפשר שמי מחתימותיה ע"ג המסמכים שהוגשו לביה"ד הדרוזי, אינה אותנטית ומשכך למעשה לא ניתנה הסכמתה להקנות לביה"ד הדרוזי </w:t>
      </w:r>
      <w:r>
        <w:rPr>
          <w:rFonts w:ascii="David" w:hAnsi="David"/>
          <w:u w:val="single"/>
          <w:rtl/>
        </w:rPr>
        <w:t>מלכתחילה</w:t>
      </w:r>
      <w:r>
        <w:rPr>
          <w:rFonts w:ascii="David" w:hAnsi="David"/>
          <w:rtl/>
        </w:rPr>
        <w:t xml:space="preserve"> סמכות לדון בעניין. </w:t>
      </w:r>
    </w:p>
    <w:p w:rsidR="00221F25" w:rsidRDefault="00221F25" w:rsidP="00221F25">
      <w:pPr>
        <w:pStyle w:val="ad"/>
        <w:rPr>
          <w:rFonts w:ascii="David" w:hAnsi="David"/>
        </w:rPr>
      </w:pPr>
    </w:p>
    <w:p w:rsidR="00221F25" w:rsidRDefault="00221F25" w:rsidP="00221F25">
      <w:pPr>
        <w:pStyle w:val="ad"/>
        <w:numPr>
          <w:ilvl w:val="0"/>
          <w:numId w:val="2"/>
        </w:numPr>
        <w:spacing w:line="360" w:lineRule="auto"/>
        <w:ind w:left="0"/>
        <w:jc w:val="both"/>
        <w:rPr>
          <w:rFonts w:ascii="Arial" w:hAnsi="Arial"/>
          <w:noProof w:val="0"/>
          <w:rtl/>
        </w:rPr>
      </w:pPr>
      <w:r>
        <w:rPr>
          <w:rFonts w:ascii="Arial" w:hAnsi="Arial"/>
          <w:noProof w:val="0"/>
          <w:rtl/>
        </w:rPr>
        <w:t>סעיף 5 לחוק בתי הדין הדרוזיים, התשכ"ג – 1963 קובע את סמכותו של ביה"ד הדרוזי לדון בין היתר בענייני ירושה ולפיו, על מנת שביה"ד הדרוזי יקנה סמכות לדון בענייני ירושה, נדרשת הסכמת "כל הצדדים הנוגעים בדבר":</w:t>
      </w:r>
    </w:p>
    <w:p w:rsidR="00221F25" w:rsidRDefault="00221F25" w:rsidP="00221F25">
      <w:pPr>
        <w:spacing w:line="360" w:lineRule="auto"/>
        <w:jc w:val="both"/>
        <w:rPr>
          <w:rFonts w:ascii="Arial" w:hAnsi="Arial"/>
          <w:noProof w:val="0"/>
          <w:rtl/>
        </w:rPr>
      </w:pPr>
    </w:p>
    <w:p w:rsidR="00221F25" w:rsidRDefault="00221F25" w:rsidP="00221F25">
      <w:pPr>
        <w:spacing w:line="360" w:lineRule="auto"/>
        <w:ind w:left="1275" w:right="1276"/>
        <w:jc w:val="both"/>
        <w:rPr>
          <w:rFonts w:ascii="Arial" w:hAnsi="Arial"/>
          <w:noProof w:val="0"/>
          <w:rtl/>
        </w:rPr>
      </w:pPr>
      <w:r>
        <w:rPr>
          <w:rFonts w:ascii="Arial" w:hAnsi="Arial"/>
          <w:noProof w:val="0"/>
          <w:rtl/>
        </w:rPr>
        <w:t>"</w:t>
      </w:r>
      <w:r>
        <w:rPr>
          <w:rFonts w:ascii="Arial" w:hAnsi="Arial"/>
          <w:b/>
          <w:bCs/>
          <w:noProof w:val="0"/>
          <w:rtl/>
        </w:rPr>
        <w:t>5. בעניני המעמד האישי של דרוזים כמפורט בסעיף 51 לדבר המלך במועצה על ארץ ישראל, 1947-1922, או בפקודת הירושה, אשר בהם אין לבית דין שיפוט ייחודי לפי סעיף 4, יהא לבית הדין שיפוט לאחר</w:t>
      </w:r>
      <w:r>
        <w:rPr>
          <w:rFonts w:ascii="Arial" w:hAnsi="Arial"/>
          <w:b/>
          <w:bCs/>
          <w:noProof w:val="0"/>
          <w:u w:val="single"/>
          <w:rtl/>
        </w:rPr>
        <w:t xml:space="preserve"> </w:t>
      </w:r>
      <w:r w:rsidRPr="00221F25">
        <w:rPr>
          <w:rFonts w:ascii="Arial" w:hAnsi="Arial"/>
          <w:b/>
          <w:bCs/>
          <w:noProof w:val="0"/>
          <w:u w:val="single"/>
          <w:rtl/>
        </w:rPr>
        <w:t>שכל הצדדים הנוגעים בדבר הביעו הסכמתם לכך</w:t>
      </w:r>
      <w:r w:rsidRPr="00221F25">
        <w:rPr>
          <w:rFonts w:ascii="Arial" w:hAnsi="Arial"/>
          <w:noProof w:val="0"/>
          <w:u w:val="single"/>
          <w:rtl/>
        </w:rPr>
        <w:t>".</w:t>
      </w:r>
    </w:p>
    <w:p w:rsidR="00221F25" w:rsidRDefault="00221F25" w:rsidP="00221F25">
      <w:pPr>
        <w:pStyle w:val="ad"/>
        <w:spacing w:line="360" w:lineRule="auto"/>
        <w:ind w:left="0"/>
        <w:jc w:val="both"/>
        <w:rPr>
          <w:rFonts w:ascii="David" w:hAnsi="David"/>
          <w:rtl/>
        </w:rPr>
      </w:pPr>
    </w:p>
    <w:p w:rsidR="00221F25" w:rsidRDefault="00221F25" w:rsidP="00221F25">
      <w:pPr>
        <w:pStyle w:val="ad"/>
        <w:rPr>
          <w:rFonts w:ascii="David" w:hAnsi="David"/>
        </w:rPr>
      </w:pPr>
    </w:p>
    <w:p w:rsidR="00221F25" w:rsidRDefault="00221F25" w:rsidP="00221F25">
      <w:pPr>
        <w:pStyle w:val="ad"/>
        <w:numPr>
          <w:ilvl w:val="0"/>
          <w:numId w:val="2"/>
        </w:numPr>
        <w:spacing w:line="360" w:lineRule="auto"/>
        <w:ind w:left="0"/>
        <w:jc w:val="both"/>
        <w:rPr>
          <w:rFonts w:ascii="David" w:hAnsi="David"/>
          <w:rtl/>
        </w:rPr>
      </w:pPr>
      <w:r>
        <w:rPr>
          <w:rFonts w:ascii="David" w:hAnsi="David"/>
          <w:rtl/>
        </w:rPr>
        <w:t xml:space="preserve">סבורני כי אין בטענה זו כדי לשנות ממסקנתי דלעיל בדבר סמכותו של ביה"ד הדרוזי לדון בתביעה. </w:t>
      </w:r>
      <w:r>
        <w:rPr>
          <w:rFonts w:ascii="David" w:hAnsi="David"/>
          <w:b/>
          <w:bCs/>
          <w:rtl/>
        </w:rPr>
        <w:t>ראשית</w:t>
      </w:r>
      <w:r>
        <w:rPr>
          <w:rFonts w:ascii="David" w:hAnsi="David"/>
          <w:rtl/>
        </w:rPr>
        <w:t xml:space="preserve">, המדובר בטענה שלא נטענה כלל בכתב התביעה. </w:t>
      </w:r>
      <w:r>
        <w:rPr>
          <w:rFonts w:ascii="David" w:hAnsi="David"/>
          <w:b/>
          <w:bCs/>
          <w:rtl/>
        </w:rPr>
        <w:t>שנית</w:t>
      </w:r>
      <w:r>
        <w:rPr>
          <w:rFonts w:ascii="David" w:hAnsi="David"/>
          <w:rtl/>
        </w:rPr>
        <w:t xml:space="preserve">, מדובר בטענה כללית, שכן התובעת לא הצביעה על המסמך על גביו נמצאת החתימה החשודה ככזו שאינה אותנטית. </w:t>
      </w:r>
      <w:r>
        <w:rPr>
          <w:rFonts w:ascii="David" w:hAnsi="David"/>
          <w:b/>
          <w:bCs/>
          <w:rtl/>
        </w:rPr>
        <w:t>שלישית</w:t>
      </w:r>
      <w:r>
        <w:rPr>
          <w:rFonts w:ascii="David" w:hAnsi="David"/>
          <w:rtl/>
        </w:rPr>
        <w:t xml:space="preserve">, וכאן העיקר, מדובר בטענה כבדת משקל הטעונה הוכחה. מנגד הוגש בפני ביה"ד מסמך בכתב, הנחזה ככשר וככזה הנושא את חתימה התובעת, ושעל בסיסו מצא ביה"ד ליתן החלטה שיפוטית המאשררת את ההסכם. בנסיבות אלו, הרי שאין בעצם העלאת הטענה וכל עוד לא הוכחה, כדי לערער את סמכותו של ביה"ד לדון בעניינם של הצדדים, הן במסגרת ההליך המקורי (למתן צו ירושה ולאישור ההסכם) וכך גם בתביעה לביטול ההסכם. </w:t>
      </w:r>
    </w:p>
    <w:p w:rsidR="00221F25" w:rsidRDefault="00221F25" w:rsidP="00221F25">
      <w:pPr>
        <w:pStyle w:val="ad"/>
        <w:spacing w:line="360" w:lineRule="auto"/>
        <w:ind w:left="0"/>
        <w:jc w:val="both"/>
        <w:rPr>
          <w:rFonts w:ascii="David" w:hAnsi="David"/>
        </w:rPr>
      </w:pPr>
      <w:r>
        <w:rPr>
          <w:rFonts w:ascii="David" w:hAnsi="David"/>
          <w:rtl/>
        </w:rPr>
        <w:t xml:space="preserve"> </w:t>
      </w:r>
    </w:p>
    <w:p w:rsidR="00221F25" w:rsidRDefault="00221F25" w:rsidP="00221F25">
      <w:pPr>
        <w:pStyle w:val="ad"/>
        <w:numPr>
          <w:ilvl w:val="0"/>
          <w:numId w:val="2"/>
        </w:numPr>
        <w:spacing w:line="360" w:lineRule="auto"/>
        <w:ind w:left="0"/>
        <w:jc w:val="both"/>
        <w:rPr>
          <w:rFonts w:ascii="David" w:hAnsi="David"/>
        </w:rPr>
      </w:pPr>
      <w:r>
        <w:rPr>
          <w:rFonts w:ascii="David" w:hAnsi="David"/>
          <w:rtl/>
        </w:rPr>
        <w:t xml:space="preserve">באשר לטענה כי ביה"ד הדרוזי אישר את הבקשה למתן צו ירושה ולמתן תוקף של החלטה שיפוטית להסכם, מבלי שהצדדים התייצבו בפניו פרונטאלית, אלא על סמך בקשה בכתב, סבורני כי אף בכך אין כדי לאיין את סמכותו לדון בהליך (הן ההליך המקורי והן בתביעה לביטול). משלא הוכח כי ביה"ד חרג מסמכותו באופן שהופך את ההסכם לבטל מעיקרו, הרי שלא ניתן לטעון כי ביה"ד לא קנה סמכות </w:t>
      </w:r>
      <w:r>
        <w:rPr>
          <w:rFonts w:ascii="David" w:hAnsi="David"/>
          <w:rtl/>
        </w:rPr>
        <w:lastRenderedPageBreak/>
        <w:t xml:space="preserve">לדון בעניינם של הצדדים ומשכך, תביעה לביטול ההסכם צריכה להיות נדונה אף היא בפניו, על פי ההלכה שהובאה לעיל. </w:t>
      </w:r>
    </w:p>
    <w:p w:rsidR="00221F25" w:rsidRDefault="00221F25" w:rsidP="00221F25">
      <w:pPr>
        <w:pStyle w:val="ad"/>
        <w:spacing w:line="360" w:lineRule="auto"/>
        <w:ind w:left="0"/>
        <w:jc w:val="both"/>
        <w:rPr>
          <w:rFonts w:ascii="David" w:hAnsi="David"/>
          <w:rtl/>
        </w:rPr>
      </w:pPr>
    </w:p>
    <w:p w:rsidR="00221F25" w:rsidRDefault="00221F25" w:rsidP="00221F25">
      <w:pPr>
        <w:pStyle w:val="ad"/>
        <w:numPr>
          <w:ilvl w:val="0"/>
          <w:numId w:val="2"/>
        </w:numPr>
        <w:spacing w:line="360" w:lineRule="auto"/>
        <w:ind w:left="0"/>
        <w:jc w:val="both"/>
        <w:rPr>
          <w:rFonts w:ascii="David" w:hAnsi="David"/>
          <w:b/>
          <w:bCs/>
          <w:rtl/>
        </w:rPr>
      </w:pPr>
      <w:r>
        <w:rPr>
          <w:rFonts w:ascii="David" w:hAnsi="David"/>
          <w:rtl/>
        </w:rPr>
        <w:t xml:space="preserve">לא למותר לציין כי המבחנים הנוגעים לסמכותו הנמשכת של בית משפט להמשיך ולדון בעניין מסויים, בין היתר רק אם "דן ופסק" באותו עניין, היינו, קיים בירור ושקילה ודיון לגופו (ראו למשל: בג"ץ 7298/14 </w:t>
      </w:r>
      <w:r>
        <w:rPr>
          <w:rFonts w:ascii="David" w:hAnsi="David"/>
          <w:b/>
          <w:bCs/>
          <w:rtl/>
        </w:rPr>
        <w:t>פלונית נ' בית הדין השרעי לערעורים בירושלים</w:t>
      </w:r>
      <w:r>
        <w:rPr>
          <w:rFonts w:ascii="David" w:hAnsi="David"/>
          <w:rtl/>
        </w:rPr>
        <w:t xml:space="preserve"> 15.5.16), מבחנים בעניינם האריכו הצדדים בכתובים, </w:t>
      </w:r>
      <w:r>
        <w:rPr>
          <w:rFonts w:ascii="David" w:hAnsi="David"/>
          <w:b/>
          <w:bCs/>
          <w:rtl/>
        </w:rPr>
        <w:t xml:space="preserve">אינם רלוונטיים לתביעה לביטול הסכם שקיבל תוקף של ערכאה שיפוטית, מפאת פגמים ברצון. </w:t>
      </w:r>
    </w:p>
    <w:p w:rsidR="00221F25" w:rsidRDefault="00221F25" w:rsidP="00221F25">
      <w:pPr>
        <w:pStyle w:val="ad"/>
        <w:spacing w:line="360" w:lineRule="auto"/>
        <w:ind w:left="0"/>
        <w:jc w:val="both"/>
        <w:rPr>
          <w:rFonts w:ascii="David" w:hAnsi="David"/>
          <w:rtl/>
        </w:rPr>
      </w:pPr>
    </w:p>
    <w:p w:rsidR="00221F25" w:rsidRDefault="00221F25" w:rsidP="00221F25">
      <w:pPr>
        <w:pStyle w:val="ad"/>
        <w:numPr>
          <w:ilvl w:val="0"/>
          <w:numId w:val="2"/>
        </w:numPr>
        <w:spacing w:line="360" w:lineRule="auto"/>
        <w:ind w:left="0"/>
        <w:jc w:val="both"/>
        <w:rPr>
          <w:rFonts w:ascii="David" w:hAnsi="David"/>
          <w:b/>
          <w:bCs/>
          <w:rtl/>
        </w:rPr>
      </w:pPr>
      <w:r>
        <w:rPr>
          <w:rFonts w:ascii="David" w:hAnsi="David"/>
          <w:rtl/>
        </w:rPr>
        <w:t xml:space="preserve">מכלל האמור לעיל עולה כי ביה"ד הדרוזי אישר את הבקשה למתן צו ירושה, שכללה גם בקשה ליתן תוקף של החלטה להסכם בין היורשות וזאת על סמך מסמכים שהוגשו בפניו ונחזו על ידו ככשרים. מכאן, שההסכם אושרר וקיבל תוקף של החלטה שיפוטית, כפי שהתבקש. בכך קנה ביה"ד הדרוזי הלכה למעשה סמכות לדון בכל טענה הנוגעת לפגמים שנפלו בהסכם ובאשרורו. לא למותר לציין כי כאמור לעיל, הן התובעת והן הנתבעת פעלו בהתאם לצו הירושה ולהסכם וביצעו העברה רישומית של נכסי המקרקעין בהתאם להסכמות. </w:t>
      </w:r>
      <w:r>
        <w:rPr>
          <w:rFonts w:ascii="David" w:hAnsi="David"/>
          <w:b/>
          <w:bCs/>
          <w:rtl/>
        </w:rPr>
        <w:t xml:space="preserve">בנסיבות אלו ועל פי הפסיקה שהובאה לעיל, טענות לביטול ההסכם מחמת פגמים ברצון לרבות טענת הזיוף, דינן להתברר בפני ביה"ד הדרוזי ולא בפני ערכאה זו. </w:t>
      </w:r>
    </w:p>
    <w:p w:rsidR="00221F25" w:rsidRDefault="00221F25" w:rsidP="00221F25">
      <w:pPr>
        <w:spacing w:line="360" w:lineRule="auto"/>
        <w:jc w:val="both"/>
        <w:rPr>
          <w:rFonts w:ascii="David" w:hAnsi="David"/>
          <w:rtl/>
        </w:rPr>
      </w:pPr>
    </w:p>
    <w:p w:rsidR="00221F25" w:rsidRDefault="00221F25" w:rsidP="00221F25">
      <w:pPr>
        <w:spacing w:line="360" w:lineRule="auto"/>
        <w:jc w:val="both"/>
        <w:rPr>
          <w:rFonts w:ascii="David" w:hAnsi="David"/>
          <w:b/>
          <w:bCs/>
          <w:rtl/>
        </w:rPr>
      </w:pPr>
      <w:r>
        <w:rPr>
          <w:rFonts w:ascii="David" w:hAnsi="David"/>
          <w:b/>
          <w:bCs/>
          <w:rtl/>
        </w:rPr>
        <w:t xml:space="preserve">סוף דבר, אני מורה על דחיית התביעה על הסף. </w:t>
      </w:r>
    </w:p>
    <w:p w:rsidR="00221F25" w:rsidRDefault="00221F25" w:rsidP="00221F25">
      <w:pPr>
        <w:spacing w:line="360" w:lineRule="auto"/>
        <w:jc w:val="both"/>
        <w:rPr>
          <w:rFonts w:ascii="David" w:hAnsi="David"/>
          <w:b/>
          <w:bCs/>
          <w:rtl/>
        </w:rPr>
      </w:pPr>
    </w:p>
    <w:p w:rsidR="00221F25" w:rsidRDefault="00221F25" w:rsidP="00221F25">
      <w:pPr>
        <w:spacing w:line="360" w:lineRule="auto"/>
        <w:jc w:val="both"/>
        <w:rPr>
          <w:rFonts w:ascii="David" w:hAnsi="David"/>
          <w:b/>
          <w:bCs/>
          <w:rtl/>
        </w:rPr>
      </w:pPr>
      <w:r>
        <w:rPr>
          <w:rFonts w:ascii="David" w:hAnsi="David"/>
          <w:b/>
          <w:bCs/>
          <w:rtl/>
        </w:rPr>
        <w:t xml:space="preserve">התובעת תישא בהוצאות הנתבעת בסך של 5,000 ₪. </w:t>
      </w:r>
    </w:p>
    <w:p w:rsidR="00694556" w:rsidRDefault="00694556">
      <w:pPr>
        <w:spacing w:line="360" w:lineRule="auto"/>
        <w:jc w:val="both"/>
        <w:rPr>
          <w:rFonts w:ascii="Arial" w:hAnsi="Arial"/>
          <w:noProof w:val="0"/>
          <w:rtl/>
        </w:rPr>
      </w:pPr>
    </w:p>
    <w:p w:rsidR="00694556" w:rsidRDefault="009259E8">
      <w:pPr>
        <w:spacing w:line="360" w:lineRule="auto"/>
        <w:jc w:val="both"/>
        <w:rPr>
          <w:rFonts w:ascii="Arial" w:hAnsi="Arial"/>
          <w:noProof w:val="0"/>
          <w:rtl/>
        </w:rPr>
      </w:pPr>
      <w:r>
        <w:rPr>
          <w:rFonts w:ascii="Arial" w:hAnsi="Arial" w:hint="cs"/>
          <w:noProof w:val="0"/>
          <w:rtl/>
        </w:rPr>
        <w:t xml:space="preserve">פסק הדין מאושר לפרסום בהשמטת פרטים מזהים.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ל' שבט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21 פברואר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0E54FA" w:rsidP="00633C4F">
      <w:pPr>
        <w:spacing w:line="360" w:lineRule="auto"/>
        <w:ind w:left="3600" w:firstLine="720"/>
      </w:pPr>
      <w:sdt>
        <w:sdtPr>
          <w:rPr>
            <w:rtl/>
          </w:rPr>
          <w:alias w:val="MergeField"/>
          <w:tag w:val="1237"/>
          <w:id w:val="1660579753"/>
        </w:sdtPr>
        <w:sdtEndPr/>
        <w:sdtContent>
          <w:r w:rsidR="00BA2A27">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1"/>
      <w:footerReference w:type="default" r:id="rId1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4FA" w:rsidRDefault="000E54FA">
      <w:r>
        <w:separator/>
      </w:r>
    </w:p>
  </w:endnote>
  <w:endnote w:type="continuationSeparator" w:id="0">
    <w:p w:rsidR="000E54FA" w:rsidRDefault="000E5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451A6">
      <w:rPr>
        <w:rStyle w:val="ab"/>
        <w:rFonts w:cs="Times New Roman"/>
        <w:rtl/>
      </w:rPr>
      <w:t>7</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451A6">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4FA" w:rsidRDefault="000E54FA">
      <w:r>
        <w:separator/>
      </w:r>
    </w:p>
  </w:footnote>
  <w:footnote w:type="continuationSeparator" w:id="0">
    <w:p w:rsidR="000E54FA" w:rsidRDefault="000E5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E54FA" w:rsidP="00BA2A27">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43637-02-22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A2A27">
                <w:rPr>
                  <w:rFonts w:hint="cs"/>
                  <w:b/>
                  <w:bCs/>
                  <w:noProof w:val="0"/>
                  <w:sz w:val="26"/>
                  <w:szCs w:val="26"/>
                  <w:rtl/>
                </w:rPr>
                <w:t>פלונית</w:t>
              </w:r>
              <w:r w:rsidR="00E44DDF">
                <w:rPr>
                  <w:b/>
                  <w:bCs/>
                  <w:noProof w:val="0"/>
                  <w:sz w:val="26"/>
                  <w:szCs w:val="26"/>
                  <w:rtl/>
                </w:rPr>
                <w:t xml:space="preserve"> ואח' נ' </w:t>
              </w:r>
              <w:r w:rsidR="00BA2A27">
                <w:rPr>
                  <w:rFonts w:hint="cs"/>
                  <w:b/>
                  <w:bCs/>
                  <w:noProof w:val="0"/>
                  <w:sz w:val="26"/>
                  <w:szCs w:val="26"/>
                  <w:rtl/>
                </w:rPr>
                <w:t>אלמונית</w:t>
              </w:r>
              <w:r w:rsidR="00E44DDF">
                <w:rPr>
                  <w:b/>
                  <w:bCs/>
                  <w:noProof w:val="0"/>
                  <w:sz w:val="26"/>
                  <w:szCs w:val="26"/>
                  <w:rtl/>
                </w:rPr>
                <w:t xml:space="preserve"> ואח'</w:t>
              </w:r>
            </w:sdtContent>
          </w:sdt>
        </w:p>
        <w:p w:rsidR="00694556" w:rsidRPr="00957C90" w:rsidRDefault="00694556">
          <w:pPr>
            <w:rPr>
              <w:b/>
              <w:bCs/>
              <w:noProof w:val="0"/>
              <w:sz w:val="2"/>
              <w:szCs w:val="2"/>
              <w:rtl/>
            </w:rPr>
          </w:pPr>
        </w:p>
        <w:p w:rsidR="00957C90" w:rsidRPr="00957C90" w:rsidRDefault="00957C90" w:rsidP="00BA2A27">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B2C4B5E4"/>
    <w:lvl w:ilvl="0" w:tplc="CC4C2718">
      <w:start w:val="1"/>
      <w:numFmt w:val="decimal"/>
      <w:pStyle w:val="Ruller4"/>
      <w:lvlText w:val="%1."/>
      <w:lvlJc w:val="left"/>
      <w:pPr>
        <w:tabs>
          <w:tab w:val="num" w:pos="907"/>
        </w:tabs>
        <w:ind w:left="0" w:firstLine="0"/>
      </w:pPr>
    </w:lvl>
    <w:lvl w:ilvl="1" w:tplc="38046846">
      <w:start w:val="1"/>
      <w:numFmt w:val="lowerLetter"/>
      <w:lvlText w:val="%2."/>
      <w:lvlJc w:val="left"/>
      <w:pPr>
        <w:tabs>
          <w:tab w:val="num" w:pos="1440"/>
        </w:tabs>
        <w:ind w:left="1440" w:hanging="360"/>
      </w:pPr>
    </w:lvl>
    <w:lvl w:ilvl="2" w:tplc="D2768FCA">
      <w:start w:val="1"/>
      <w:numFmt w:val="lowerRoman"/>
      <w:lvlText w:val="%3."/>
      <w:lvlJc w:val="right"/>
      <w:pPr>
        <w:tabs>
          <w:tab w:val="num" w:pos="2160"/>
        </w:tabs>
        <w:ind w:left="2160" w:hanging="180"/>
      </w:pPr>
    </w:lvl>
    <w:lvl w:ilvl="3" w:tplc="A11C1C0C">
      <w:start w:val="1"/>
      <w:numFmt w:val="decimal"/>
      <w:lvlText w:val="%4."/>
      <w:lvlJc w:val="left"/>
      <w:pPr>
        <w:tabs>
          <w:tab w:val="num" w:pos="2880"/>
        </w:tabs>
        <w:ind w:left="2880" w:hanging="360"/>
      </w:pPr>
    </w:lvl>
    <w:lvl w:ilvl="4" w:tplc="7F78A81C">
      <w:start w:val="1"/>
      <w:numFmt w:val="lowerLetter"/>
      <w:lvlText w:val="%5."/>
      <w:lvlJc w:val="left"/>
      <w:pPr>
        <w:tabs>
          <w:tab w:val="num" w:pos="3600"/>
        </w:tabs>
        <w:ind w:left="3600" w:hanging="360"/>
      </w:pPr>
    </w:lvl>
    <w:lvl w:ilvl="5" w:tplc="AB08C85E">
      <w:start w:val="1"/>
      <w:numFmt w:val="lowerRoman"/>
      <w:lvlText w:val="%6."/>
      <w:lvlJc w:val="right"/>
      <w:pPr>
        <w:tabs>
          <w:tab w:val="num" w:pos="4320"/>
        </w:tabs>
        <w:ind w:left="4320" w:hanging="180"/>
      </w:pPr>
    </w:lvl>
    <w:lvl w:ilvl="6" w:tplc="6D665C4A">
      <w:start w:val="1"/>
      <w:numFmt w:val="decimal"/>
      <w:lvlText w:val="%7."/>
      <w:lvlJc w:val="left"/>
      <w:pPr>
        <w:tabs>
          <w:tab w:val="num" w:pos="5040"/>
        </w:tabs>
        <w:ind w:left="5040" w:hanging="360"/>
      </w:pPr>
    </w:lvl>
    <w:lvl w:ilvl="7" w:tplc="DB2EF1CC">
      <w:start w:val="1"/>
      <w:numFmt w:val="lowerLetter"/>
      <w:lvlText w:val="%8."/>
      <w:lvlJc w:val="left"/>
      <w:pPr>
        <w:tabs>
          <w:tab w:val="num" w:pos="5760"/>
        </w:tabs>
        <w:ind w:left="5760" w:hanging="360"/>
      </w:pPr>
    </w:lvl>
    <w:lvl w:ilvl="8" w:tplc="C3727406">
      <w:start w:val="1"/>
      <w:numFmt w:val="lowerRoman"/>
      <w:lvlText w:val="%9."/>
      <w:lvlJc w:val="right"/>
      <w:pPr>
        <w:tabs>
          <w:tab w:val="num" w:pos="6480"/>
        </w:tabs>
        <w:ind w:left="6480" w:hanging="180"/>
      </w:pPr>
    </w:lvl>
  </w:abstractNum>
  <w:abstractNum w:abstractNumId="1" w15:restartNumberingAfterBreak="0">
    <w:nsid w:val="511F5E70"/>
    <w:multiLevelType w:val="hybridMultilevel"/>
    <w:tmpl w:val="7138FE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C09E9"/>
    <w:rsid w:val="000D4A02"/>
    <w:rsid w:val="000E54FA"/>
    <w:rsid w:val="001072A9"/>
    <w:rsid w:val="00121F97"/>
    <w:rsid w:val="001277D7"/>
    <w:rsid w:val="00132017"/>
    <w:rsid w:val="0014234E"/>
    <w:rsid w:val="00145A87"/>
    <w:rsid w:val="001C4003"/>
    <w:rsid w:val="001F5474"/>
    <w:rsid w:val="00221F25"/>
    <w:rsid w:val="002352F7"/>
    <w:rsid w:val="0025102D"/>
    <w:rsid w:val="0027277D"/>
    <w:rsid w:val="00381D3A"/>
    <w:rsid w:val="003823DA"/>
    <w:rsid w:val="0043595F"/>
    <w:rsid w:val="0047645A"/>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61332"/>
    <w:rsid w:val="008E1332"/>
    <w:rsid w:val="00903896"/>
    <w:rsid w:val="009259E8"/>
    <w:rsid w:val="00927813"/>
    <w:rsid w:val="00944D13"/>
    <w:rsid w:val="00957C90"/>
    <w:rsid w:val="009B70F6"/>
    <w:rsid w:val="009C358E"/>
    <w:rsid w:val="009E0263"/>
    <w:rsid w:val="00A267CF"/>
    <w:rsid w:val="00A43458"/>
    <w:rsid w:val="00AC4E19"/>
    <w:rsid w:val="00AF1ED6"/>
    <w:rsid w:val="00B32C61"/>
    <w:rsid w:val="00B368FE"/>
    <w:rsid w:val="00B451A6"/>
    <w:rsid w:val="00B80CBD"/>
    <w:rsid w:val="00B9515F"/>
    <w:rsid w:val="00BA2A27"/>
    <w:rsid w:val="00BC3369"/>
    <w:rsid w:val="00BF77EE"/>
    <w:rsid w:val="00C32E0F"/>
    <w:rsid w:val="00C42BF9"/>
    <w:rsid w:val="00C83E56"/>
    <w:rsid w:val="00CC63CE"/>
    <w:rsid w:val="00D319B3"/>
    <w:rsid w:val="00D36A71"/>
    <w:rsid w:val="00D53924"/>
    <w:rsid w:val="00D568B4"/>
    <w:rsid w:val="00D60849"/>
    <w:rsid w:val="00D96D8C"/>
    <w:rsid w:val="00DA755B"/>
    <w:rsid w:val="00DD337E"/>
    <w:rsid w:val="00E00B6F"/>
    <w:rsid w:val="00E44DDF"/>
    <w:rsid w:val="00E54642"/>
    <w:rsid w:val="00E97908"/>
    <w:rsid w:val="00EF3ED0"/>
    <w:rsid w:val="00F17E56"/>
    <w:rsid w:val="00F66A4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221F25"/>
    <w:pPr>
      <w:ind w:left="720"/>
      <w:contextualSpacing/>
    </w:pPr>
  </w:style>
  <w:style w:type="character" w:customStyle="1" w:styleId="Ruller40">
    <w:name w:val="Ruller4 תו"/>
    <w:link w:val="Ruller41"/>
    <w:locked/>
    <w:rsid w:val="00221F25"/>
    <w:rPr>
      <w:rFonts w:ascii="Arial TUR" w:hAnsi="Arial TUR" w:cs="FrankRuehl"/>
      <w:spacing w:val="10"/>
      <w:sz w:val="22"/>
      <w:szCs w:val="28"/>
    </w:rPr>
  </w:style>
  <w:style w:type="paragraph" w:customStyle="1" w:styleId="Ruller41">
    <w:name w:val="Ruller4"/>
    <w:basedOn w:val="a"/>
    <w:link w:val="Ruller40"/>
    <w:rsid w:val="00221F25"/>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customStyle="1" w:styleId="Ruller5">
    <w:name w:val="Ruller5"/>
    <w:basedOn w:val="a"/>
    <w:rsid w:val="00221F25"/>
    <w:pPr>
      <w:overflowPunct w:val="0"/>
      <w:autoSpaceDE w:val="0"/>
      <w:autoSpaceDN w:val="0"/>
      <w:adjustRightInd w:val="0"/>
      <w:ind w:left="1642" w:right="1282"/>
      <w:jc w:val="both"/>
    </w:pPr>
    <w:rPr>
      <w:rFonts w:ascii="Arial TUR" w:hAnsi="Arial TUR" w:cs="FrankRuehl"/>
      <w:noProof w:val="0"/>
      <w:spacing w:val="10"/>
      <w:sz w:val="22"/>
      <w:szCs w:val="28"/>
    </w:rPr>
  </w:style>
  <w:style w:type="paragraph" w:customStyle="1" w:styleId="Ruller4">
    <w:name w:val="Ruller 4 ממוספר"/>
    <w:basedOn w:val="Ruller41"/>
    <w:next w:val="Ruller41"/>
    <w:rsid w:val="00221F25"/>
    <w:pPr>
      <w:numPr>
        <w:numId w:val="1"/>
      </w:numPr>
      <w:tabs>
        <w:tab w:val="clear" w:pos="907"/>
        <w:tab w:val="num" w:pos="360"/>
      </w:tabs>
    </w:pPr>
    <w:rPr>
      <w:rFonts w:ascii="Garamond" w:hAnsi="Garamond"/>
      <w:sz w:val="24"/>
    </w:rPr>
  </w:style>
  <w:style w:type="character" w:styleId="Hyperlink">
    <w:name w:val="Hyperlink"/>
    <w:basedOn w:val="a0"/>
    <w:uiPriority w:val="99"/>
    <w:semiHidden/>
    <w:unhideWhenUsed/>
    <w:rsid w:val="00221F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16644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9832094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624367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www.nevo.co.il/case/6132714"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358FE"/>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2069</Words>
  <Characters>10350</Characters>
  <Application>Microsoft Office Word</Application>
  <DocSecurity>0</DocSecurity>
  <Lines>86</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2023-04-02T07:54:00Z</dcterms:created>
  <dcterms:modified xsi:type="dcterms:W3CDTF">2023-04-02T07:54:00Z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33006fc6cbd91dd04b5d89cdb1afa5bda37bc067766e95257223556c932fc04e</vt:lpwstr>
  </property>
</Properties>
</file>